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outlineLvl w:val="0"/>
        <w:rPr>
          <w:rFonts w:ascii="Arial" w:hAnsi="Arial" w:eastAsia="Times New Roman" w:cs="Arial"/>
          <w:b/>
          <w:bCs/>
          <w:kern w:val="2"/>
        </w:rPr>
      </w:pPr>
      <w:r>
        <w:rPr>
          <w:rFonts w:ascii="Arial" w:hAnsi="Arial" w:eastAsia="Times New Roman" w:cs="Arial"/>
          <w:b/>
          <w:bCs/>
          <w:kern w:val="2"/>
        </w:rPr>
        <w:t>3GPP TSG RAN WG1 #113</w:t>
      </w:r>
      <w:r>
        <w:rPr>
          <w:rFonts w:ascii="Arial" w:hAnsi="Arial" w:eastAsia="Times New Roman" w:cs="Arial"/>
          <w:b/>
          <w:bCs/>
          <w:kern w:val="2"/>
        </w:rPr>
        <w:tab/>
      </w:r>
      <w:r>
        <w:rPr>
          <w:rFonts w:ascii="Arial" w:hAnsi="Arial" w:eastAsia="Times New Roman" w:cs="Arial"/>
          <w:b/>
          <w:bCs/>
          <w:kern w:val="2"/>
        </w:rPr>
        <w:t xml:space="preserve">                                         </w:t>
      </w:r>
      <w:r>
        <w:rPr>
          <w:rFonts w:hint="eastAsia" w:ascii="Arial" w:hAnsi="Arial" w:eastAsia="Times New Roman" w:cs="Arial"/>
          <w:b/>
          <w:bCs/>
          <w:kern w:val="2"/>
        </w:rPr>
        <w:t xml:space="preserve">           </w:t>
      </w:r>
      <w:r>
        <w:rPr>
          <w:rFonts w:hint="eastAsia" w:ascii="Arial" w:hAnsi="Arial" w:cs="Arial"/>
          <w:b/>
          <w:bCs/>
          <w:kern w:val="2"/>
        </w:rPr>
        <w:t xml:space="preserve">                         </w:t>
      </w:r>
      <w:r>
        <w:rPr>
          <w:rFonts w:hint="eastAsia" w:ascii="Arial" w:hAnsi="Arial" w:eastAsia="Times New Roman" w:cs="Arial"/>
          <w:b/>
          <w:bCs/>
          <w:kern w:val="2"/>
        </w:rPr>
        <w:t xml:space="preserve">      </w:t>
      </w:r>
      <w:r>
        <w:rPr>
          <w:rFonts w:ascii="Arial" w:hAnsi="Arial" w:eastAsia="Times New Roman" w:cs="Arial"/>
          <w:b/>
          <w:bCs/>
          <w:kern w:val="2"/>
        </w:rPr>
        <w:t xml:space="preserve">  R1-</w:t>
      </w:r>
      <w:r>
        <w:rPr>
          <w:rFonts w:hint="eastAsia" w:ascii="Arial" w:hAnsi="Arial" w:eastAsia="Times New Roman" w:cs="Arial"/>
          <w:b/>
          <w:bCs/>
          <w:kern w:val="2"/>
        </w:rPr>
        <w:t>230</w:t>
      </w:r>
      <w:r>
        <w:rPr>
          <w:rFonts w:hint="eastAsia" w:ascii="Arial" w:hAnsi="Arial" w:cs="Arial"/>
          <w:b/>
          <w:bCs/>
          <w:kern w:val="2"/>
        </w:rPr>
        <w:t>4536</w:t>
      </w:r>
      <w:r>
        <w:rPr>
          <w:rFonts w:ascii="Arial" w:hAnsi="Arial" w:eastAsia="Times New Roman" w:cs="Arial"/>
          <w:b/>
          <w:bCs/>
          <w:kern w:val="2"/>
        </w:rPr>
        <w:t xml:space="preserve">                                                                                                                                                 </w:t>
      </w:r>
    </w:p>
    <w:p>
      <w:pPr>
        <w:spacing w:before="120" w:beforeLines="50" w:after="120" w:afterLines="50" w:line="240" w:lineRule="auto"/>
        <w:jc w:val="both"/>
        <w:outlineLvl w:val="0"/>
        <w:rPr>
          <w:rFonts w:ascii="Arial" w:hAnsi="Arial" w:eastAsia="Times New Roman" w:cs="Arial"/>
          <w:b/>
          <w:bCs/>
          <w:kern w:val="2"/>
        </w:rPr>
      </w:pPr>
      <w:r>
        <w:rPr>
          <w:rFonts w:ascii="Arial" w:hAnsi="Arial" w:eastAsia="Times New Roman" w:cs="Arial"/>
          <w:b/>
          <w:bCs/>
          <w:kern w:val="2"/>
          <w:lang w:eastAsia="ja-JP"/>
        </w:rPr>
        <w:t>Incheon, Korea, May 22nd – May 26th, 2023</w:t>
      </w:r>
    </w:p>
    <w:p>
      <w:pPr>
        <w:spacing w:before="120" w:beforeLines="50" w:after="120" w:afterLines="50" w:line="240" w:lineRule="auto"/>
        <w:ind w:left="1985" w:hanging="1985"/>
        <w:jc w:val="both"/>
        <w:outlineLvl w:val="0"/>
        <w:rPr>
          <w:rFonts w:ascii="Arial" w:hAnsi="Arial" w:eastAsia="Times New Roman" w:cs="Arial"/>
          <w:b/>
          <w:kern w:val="2"/>
        </w:rPr>
      </w:pPr>
      <w:r>
        <w:rPr>
          <w:rFonts w:ascii="Arial" w:hAnsi="Arial" w:eastAsia="Times New Roman" w:cs="Arial"/>
          <w:b/>
          <w:kern w:val="2"/>
        </w:rPr>
        <w:t>Agenda item:</w:t>
      </w:r>
      <w:r>
        <w:rPr>
          <w:rFonts w:ascii="Arial" w:hAnsi="Arial" w:eastAsia="Times New Roman" w:cs="Arial"/>
          <w:b/>
          <w:kern w:val="2"/>
        </w:rPr>
        <w:tab/>
      </w:r>
      <w:r>
        <w:rPr>
          <w:rFonts w:ascii="Arial" w:hAnsi="Arial" w:eastAsia="Times New Roman" w:cs="Arial"/>
          <w:b/>
          <w:kern w:val="2"/>
        </w:rPr>
        <w:t>9.2.</w:t>
      </w:r>
      <w:r>
        <w:rPr>
          <w:rFonts w:hint="eastAsia" w:ascii="Arial" w:hAnsi="Arial" w:eastAsia="Times New Roman" w:cs="Arial"/>
          <w:b/>
          <w:kern w:val="2"/>
        </w:rPr>
        <w:t>3.1</w:t>
      </w:r>
    </w:p>
    <w:p>
      <w:pPr>
        <w:spacing w:before="120" w:beforeLines="50" w:after="120" w:afterLines="50" w:line="240" w:lineRule="auto"/>
        <w:ind w:left="1985" w:hanging="1985"/>
        <w:jc w:val="both"/>
        <w:outlineLvl w:val="0"/>
        <w:rPr>
          <w:rFonts w:ascii="Arial" w:hAnsi="Arial" w:cs="Arial"/>
          <w:b/>
          <w:kern w:val="2"/>
        </w:rPr>
      </w:pPr>
      <w:r>
        <w:rPr>
          <w:rFonts w:ascii="Arial" w:hAnsi="Arial" w:eastAsia="Times New Roman" w:cs="Arial"/>
          <w:b/>
          <w:kern w:val="2"/>
        </w:rPr>
        <w:t>Title:</w:t>
      </w:r>
      <w:r>
        <w:rPr>
          <w:rFonts w:ascii="Arial" w:hAnsi="Arial" w:eastAsia="Times New Roman" w:cs="Arial"/>
          <w:b/>
          <w:kern w:val="2"/>
        </w:rPr>
        <w:tab/>
      </w:r>
      <w:r>
        <w:rPr>
          <w:rFonts w:hint="eastAsia" w:ascii="Arial" w:hAnsi="Arial" w:cs="Arial"/>
          <w:b/>
          <w:kern w:val="2"/>
        </w:rPr>
        <w:t xml:space="preserve">Evaluation </w:t>
      </w:r>
      <w:r>
        <w:rPr>
          <w:rFonts w:ascii="Arial" w:hAnsi="Arial" w:eastAsia="Times New Roman" w:cs="Arial"/>
          <w:b/>
          <w:kern w:val="2"/>
        </w:rPr>
        <w:t xml:space="preserve">on </w:t>
      </w:r>
      <w:r>
        <w:rPr>
          <w:rFonts w:hint="eastAsia" w:ascii="Arial" w:hAnsi="Arial" w:cs="Arial"/>
          <w:b/>
          <w:kern w:val="2"/>
        </w:rPr>
        <w:t>AI beam management</w:t>
      </w:r>
    </w:p>
    <w:p>
      <w:pPr>
        <w:spacing w:before="120" w:beforeLines="50" w:after="120" w:afterLines="50" w:line="240" w:lineRule="auto"/>
        <w:ind w:left="1985" w:hanging="1985"/>
        <w:jc w:val="both"/>
        <w:outlineLvl w:val="0"/>
        <w:rPr>
          <w:rFonts w:ascii="Arial" w:hAnsi="Arial" w:eastAsia="Times New Roman" w:cs="Arial"/>
          <w:b/>
          <w:kern w:val="2"/>
        </w:rPr>
      </w:pPr>
      <w:r>
        <w:rPr>
          <w:rFonts w:ascii="Arial" w:hAnsi="Arial" w:eastAsia="Times New Roman" w:cs="Arial"/>
          <w:b/>
          <w:kern w:val="2"/>
        </w:rPr>
        <w:t>Source:</w:t>
      </w:r>
      <w:r>
        <w:rPr>
          <w:rFonts w:ascii="Arial" w:hAnsi="Arial" w:eastAsia="Times New Roman" w:cs="Arial"/>
          <w:b/>
          <w:kern w:val="2"/>
        </w:rPr>
        <w:tab/>
      </w:r>
      <w:r>
        <w:rPr>
          <w:rFonts w:ascii="Arial" w:hAnsi="Arial" w:eastAsia="Times New Roman" w:cs="Arial"/>
          <w:b/>
          <w:kern w:val="2"/>
        </w:rPr>
        <w:t>ZTE Corporation</w:t>
      </w:r>
    </w:p>
    <w:p>
      <w:pPr>
        <w:spacing w:before="120" w:beforeLines="50" w:after="120" w:afterLines="50" w:line="240" w:lineRule="auto"/>
        <w:ind w:left="1985" w:hanging="1985"/>
        <w:jc w:val="both"/>
        <w:outlineLvl w:val="0"/>
        <w:rPr>
          <w:rFonts w:ascii="Arial" w:hAnsi="Arial" w:eastAsia="Times New Roman" w:cs="Arial"/>
          <w:b/>
          <w:kern w:val="2"/>
        </w:rPr>
      </w:pPr>
      <w:r>
        <w:rPr>
          <w:rFonts w:ascii="Arial" w:hAnsi="Arial" w:eastAsia="Times New Roman" w:cs="Arial"/>
          <w:b/>
          <w:kern w:val="2"/>
        </w:rPr>
        <w:t>Document for:</w:t>
      </w:r>
      <w:r>
        <w:rPr>
          <w:rFonts w:ascii="Arial" w:hAnsi="Arial" w:eastAsia="Times New Roman" w:cs="Arial"/>
          <w:b/>
          <w:kern w:val="2"/>
        </w:rPr>
        <w:tab/>
      </w:r>
      <w:r>
        <w:rPr>
          <w:rFonts w:ascii="Arial" w:hAnsi="Arial" w:eastAsia="Times New Roman" w:cs="Arial"/>
          <w:b/>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GB"/>
        </w:rPr>
      </w:pPr>
      <w:r>
        <w:rPr>
          <w:rFonts w:hint="eastAsia" w:eastAsia="Arial Unicode MS"/>
          <w:b w:val="0"/>
          <w:bCs w:val="0"/>
          <w:kern w:val="2"/>
          <w:sz w:val="32"/>
          <w:szCs w:val="20"/>
          <w:lang w:val="en-US"/>
        </w:rPr>
        <w:t>Introduction</w:t>
      </w:r>
    </w:p>
    <w:p>
      <w:pPr>
        <w:snapToGrid w:val="0"/>
        <w:spacing w:before="72" w:beforeLines="30" w:after="72" w:afterLines="30" w:line="288" w:lineRule="auto"/>
        <w:jc w:val="both"/>
        <w:rPr>
          <w:rFonts w:eastAsia="Times New Roman"/>
          <w:sz w:val="20"/>
          <w:szCs w:val="20"/>
          <w:lang w:val="en-GB"/>
        </w:rPr>
      </w:pPr>
      <w:r>
        <w:rPr>
          <w:rFonts w:hint="eastAsia"/>
          <w:sz w:val="20"/>
          <w:szCs w:val="20"/>
        </w:rPr>
        <w:t>T</w:t>
      </w:r>
      <w:r>
        <w:rPr>
          <w:rFonts w:hint="eastAsia" w:eastAsia="Times New Roman"/>
          <w:sz w:val="20"/>
          <w:szCs w:val="20"/>
          <w:lang w:val="en-GB"/>
        </w:rPr>
        <w:t xml:space="preserve">he evaluation methodology and KPIs for AI/ML based beam management were discussed </w:t>
      </w:r>
      <w:r>
        <w:rPr>
          <w:rFonts w:hint="eastAsia"/>
          <w:sz w:val="20"/>
          <w:szCs w:val="20"/>
        </w:rPr>
        <w:t xml:space="preserve">in RAN1#112bis-e </w:t>
      </w:r>
      <w:r>
        <w:rPr>
          <w:rFonts w:hint="eastAsia" w:eastAsia="Times New Roman"/>
          <w:sz w:val="20"/>
          <w:szCs w:val="20"/>
          <w:lang w:val="en-GB"/>
        </w:rPr>
        <w:t xml:space="preserve">and many fruitful </w:t>
      </w:r>
      <w:r>
        <w:rPr>
          <w:rFonts w:eastAsia="Times New Roman"/>
          <w:sz w:val="20"/>
          <w:szCs w:val="20"/>
          <w:lang w:val="en-GB"/>
        </w:rPr>
        <w:t>consensuses</w:t>
      </w:r>
      <w:r>
        <w:rPr>
          <w:rFonts w:hint="eastAsia" w:eastAsia="Times New Roman"/>
          <w:sz w:val="20"/>
          <w:szCs w:val="20"/>
          <w:lang w:val="en-GB"/>
        </w:rPr>
        <w:t xml:space="preserve"> have been achieved</w:t>
      </w:r>
      <w:r>
        <w:rPr>
          <w:rFonts w:hint="eastAsia"/>
          <w:sz w:val="20"/>
          <w:szCs w:val="20"/>
        </w:rPr>
        <w:t xml:space="preserve"> as follows</w:t>
      </w:r>
      <w:r>
        <w:rPr>
          <w:rFonts w:hint="eastAsia" w:eastAsia="Times New Roman"/>
          <w:sz w:val="20"/>
          <w:szCs w:val="20"/>
          <w:lang w:val="en-GB"/>
        </w:rPr>
        <w:t xml:space="preserve">. Particularly, </w:t>
      </w:r>
      <w:r>
        <w:rPr>
          <w:rFonts w:hint="eastAsia"/>
          <w:sz w:val="20"/>
          <w:szCs w:val="20"/>
        </w:rPr>
        <w:t>s</w:t>
      </w:r>
      <w:r>
        <w:rPr>
          <w:rFonts w:hint="eastAsia" w:eastAsia="Times New Roman"/>
          <w:sz w:val="20"/>
          <w:szCs w:val="20"/>
          <w:lang w:val="en-GB"/>
        </w:rPr>
        <w:t xml:space="preserve">everal realistic assumptions </w:t>
      </w:r>
      <w:r>
        <w:rPr>
          <w:rFonts w:hint="eastAsia"/>
          <w:sz w:val="20"/>
          <w:szCs w:val="20"/>
        </w:rPr>
        <w:t xml:space="preserve">were </w:t>
      </w:r>
      <w:r>
        <w:rPr>
          <w:rFonts w:hint="eastAsia" w:eastAsia="Times New Roman"/>
          <w:sz w:val="20"/>
          <w:szCs w:val="20"/>
          <w:lang w:val="en-GB"/>
        </w:rPr>
        <w:t>considered for evaluation, including measurement error, practical data collection, and quasi-optimal Rx beam</w:t>
      </w:r>
      <w:r>
        <w:rPr>
          <w:rFonts w:hint="eastAsia"/>
          <w:sz w:val="20"/>
          <w:szCs w:val="20"/>
        </w:rPr>
        <w:t>. The UCI payload overhead was agreed to be an additional KPI for evaluation and RS overhead reduction was further clarified. Additionally, some initial observations were draw for Tx beam prediction without generalization, different set B, and quantization error, while how to draw observations for beam pair prediction and BM-Case2 remains to be discussed</w:t>
      </w:r>
      <w:r>
        <w:rPr>
          <w:rFonts w:hint="eastAsia" w:eastAsia="Times New Roman"/>
          <w:sz w:val="20"/>
          <w:szCs w:val="20"/>
          <w:lang w:val="en-GB"/>
        </w:rPr>
        <w:t>.</w:t>
      </w:r>
      <w:r>
        <w:rPr>
          <w:rFonts w:hint="eastAsia"/>
          <w:sz w:val="20"/>
          <w:szCs w:val="20"/>
        </w:rPr>
        <w:t xml:space="preserve"> </w:t>
      </w:r>
      <w:r>
        <w:rPr>
          <w:rFonts w:hint="eastAsia" w:eastAsia="Times New Roman"/>
          <w:sz w:val="20"/>
          <w:szCs w:val="20"/>
          <w:lang w:val="en-GB"/>
        </w:rPr>
        <w:t xml:space="preserve">In this contribution, we will provide our views and preliminary simulation results of </w:t>
      </w:r>
      <w:r>
        <w:rPr>
          <w:rFonts w:hint="eastAsia" w:eastAsia="Times New Roman"/>
          <w:sz w:val="20"/>
          <w:szCs w:val="20"/>
        </w:rPr>
        <w:t xml:space="preserve">the </w:t>
      </w:r>
      <w:r>
        <w:rPr>
          <w:rFonts w:hint="eastAsia" w:eastAsia="Times New Roman"/>
          <w:sz w:val="20"/>
          <w:szCs w:val="20"/>
          <w:lang w:val="en-GB"/>
        </w:rPr>
        <w:t>AI/ML based beam prediction.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jc w:val="both"/>
              <w:rPr>
                <w:rFonts w:eastAsia="Batang"/>
                <w:bCs/>
                <w:sz w:val="20"/>
                <w:szCs w:val="20"/>
                <w:lang w:val="en-GB" w:eastAsia="en-US"/>
              </w:rPr>
            </w:pPr>
            <w:r>
              <w:rPr>
                <w:b/>
                <w:iCs/>
                <w:kern w:val="2"/>
                <w:sz w:val="20"/>
                <w:szCs w:val="20"/>
                <w:u w:val="single"/>
              </w:rPr>
              <w:t>Agreement:</w:t>
            </w:r>
          </w:p>
          <w:p>
            <w:pPr>
              <w:snapToGrid w:val="0"/>
              <w:spacing w:before="72" w:beforeLines="30" w:after="72" w:afterLines="30" w:line="288" w:lineRule="auto"/>
              <w:jc w:val="both"/>
              <w:rPr>
                <w:rFonts w:eastAsia="Times New Roman"/>
                <w:sz w:val="20"/>
                <w:szCs w:val="20"/>
                <w:lang w:val="en-GB" w:eastAsia="ko-KR"/>
              </w:rPr>
            </w:pPr>
            <w:r>
              <w:rPr>
                <w:rFonts w:eastAsia="Times New Roman"/>
                <w:sz w:val="20"/>
                <w:szCs w:val="20"/>
                <w:lang w:val="en-GB" w:eastAsia="ko-KR"/>
              </w:rPr>
              <w:t>For the evaluation of the overhead for BM-Case2, adoption the following metrics:</w:t>
            </w:r>
          </w:p>
          <w:p>
            <w:pPr>
              <w:numPr>
                <w:ilvl w:val="0"/>
                <w:numId w:val="10"/>
              </w:numPr>
              <w:overflowPunct w:val="0"/>
              <w:autoSpaceDE w:val="0"/>
              <w:autoSpaceDN w:val="0"/>
              <w:adjustRightInd w:val="0"/>
              <w:snapToGrid w:val="0"/>
              <w:spacing w:before="72" w:beforeLines="30" w:after="72" w:afterLines="30" w:line="288" w:lineRule="auto"/>
              <w:ind w:left="726" w:hanging="363"/>
              <w:contextualSpacing/>
              <w:textAlignment w:val="baseline"/>
              <w:rPr>
                <w:rFonts w:eastAsia="Times New Roman"/>
                <w:sz w:val="20"/>
                <w:szCs w:val="20"/>
                <w:lang w:val="en-GB" w:eastAsia="ko-KR"/>
              </w:rPr>
            </w:pPr>
            <w:r>
              <w:rPr>
                <w:rFonts w:eastAsia="Batang"/>
                <w:bCs/>
                <w:sz w:val="20"/>
                <w:szCs w:val="20"/>
                <w:lang w:val="en-GB" w:eastAsia="ko-KR"/>
              </w:rPr>
              <w:t>RS overhead reduction</w:t>
            </w:r>
            <w:r>
              <w:rPr>
                <w:rFonts w:eastAsia="Times New Roman"/>
                <w:sz w:val="20"/>
                <w:szCs w:val="20"/>
                <w:lang w:val="en-GB" w:eastAsia="ko-KR"/>
              </w:rPr>
              <w:t xml:space="preserve">, </w:t>
            </w:r>
            <m:oMath>
              <m:r>
                <m:rPr>
                  <m:nor/>
                  <m:sty m:val="p"/>
                </m:rPr>
                <w:rPr>
                  <w:rFonts w:ascii="Cambria Math" w:hAnsi="Cambria Math"/>
                  <w:b w:val="0"/>
                  <w:i w:val="0"/>
                  <w:sz w:val="18"/>
                  <w:szCs w:val="18"/>
                </w:rPr>
                <m:t>RS OH reduction</m:t>
              </m:r>
              <m:d>
                <m:dPr>
                  <m:begChr m:val="["/>
                  <m:endChr m:val="]"/>
                  <m:ctrlPr>
                    <w:rPr>
                      <w:rFonts w:ascii="Cambria Math" w:hAnsi="Cambria Math"/>
                      <w:sz w:val="18"/>
                      <w:szCs w:val="18"/>
                    </w:rPr>
                  </m:ctrlPr>
                </m:dPr>
                <m:e>
                  <m:r>
                    <m:rPr>
                      <m:sty m:val="p"/>
                    </m:rPr>
                    <w:rPr>
                      <w:rFonts w:ascii="Cambria Math" w:hAnsi="Cambria Math"/>
                      <w:sz w:val="18"/>
                      <w:szCs w:val="18"/>
                    </w:rPr>
                    <m:t>%</m:t>
                  </m:r>
                  <m:ctrlPr>
                    <w:rPr>
                      <w:rFonts w:ascii="Cambria Math" w:hAnsi="Cambria Math"/>
                      <w:sz w:val="18"/>
                      <w:szCs w:val="18"/>
                    </w:rPr>
                  </m:ctrlPr>
                </m:e>
              </m:d>
              <m:r>
                <m:rPr/>
                <w:rPr>
                  <w:rFonts w:ascii="Cambria Math" w:hAnsi="Cambria Math"/>
                  <w:sz w:val="18"/>
                  <w:szCs w:val="18"/>
                </w:rPr>
                <m:t>=1−</m:t>
              </m:r>
              <m:f>
                <m:fPr>
                  <m:ctrlPr>
                    <w:rPr>
                      <w:rFonts w:ascii="Cambria Math" w:hAnsi="Cambria Math"/>
                      <w:i/>
                      <w:iCs/>
                      <w:sz w:val="18"/>
                      <w:szCs w:val="18"/>
                    </w:rPr>
                  </m:ctrlPr>
                </m:fPr>
                <m:num>
                  <m:r>
                    <m:rPr/>
                    <w:rPr>
                      <w:rFonts w:ascii="Cambria Math" w:hAnsi="Cambria Math"/>
                      <w:sz w:val="18"/>
                      <w:szCs w:val="18"/>
                    </w:rPr>
                    <m:t>N</m:t>
                  </m:r>
                  <m:ctrlPr>
                    <w:rPr>
                      <w:rFonts w:ascii="Cambria Math" w:hAnsi="Cambria Math"/>
                      <w:sz w:val="18"/>
                      <w:szCs w:val="18"/>
                    </w:rPr>
                  </m:ctrlPr>
                </m:num>
                <m:den>
                  <m:r>
                    <m:rPr/>
                    <w:rPr>
                      <w:rFonts w:ascii="Cambria Math" w:hAnsi="Cambria Math"/>
                      <w:sz w:val="18"/>
                      <w:szCs w:val="18"/>
                    </w:rPr>
                    <m:t>M</m:t>
                  </m:r>
                  <m:ctrlPr>
                    <w:rPr>
                      <w:rFonts w:ascii="Cambria Math" w:hAnsi="Cambria Math"/>
                      <w:sz w:val="18"/>
                      <w:szCs w:val="18"/>
                    </w:rPr>
                  </m:ctrlPr>
                </m:den>
              </m:f>
            </m:oMath>
            <w:r>
              <w:rPr>
                <w:rFonts w:eastAsia="Times New Roman"/>
                <w:sz w:val="20"/>
                <w:szCs w:val="20"/>
                <w:lang w:val="en-GB" w:eastAsia="ko-KR"/>
              </w:rPr>
              <w:fldChar w:fldCharType="begin"/>
            </w:r>
            <w:r>
              <w:rPr>
                <w:rFonts w:eastAsia="Times New Roman"/>
                <w:sz w:val="20"/>
                <w:szCs w:val="20"/>
                <w:lang w:val="en-GB" w:eastAsia="ko-KR"/>
              </w:rPr>
              <w:instrText xml:space="preserve"> QUOTE </w:instrText>
            </w:r>
            <w:r>
              <w:rPr>
                <w:rFonts w:eastAsia="Times New Roman"/>
                <w:sz w:val="20"/>
                <w:szCs w:val="20"/>
                <w:lang w:val="en-GB" w:eastAsia="en-US"/>
              </w:rPr>
              <w:pict>
                <v:shape id="_x0000_i1025" o:spt="75" type="#_x0000_t75" style="height:17pt;width:12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988&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6C0&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01&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8DD&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60&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41&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6C1&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765&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8C2&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3CA&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9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A47&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B9&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62&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51&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DE1&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5&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9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D4&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7D0&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6B7&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2E5&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749&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1F0&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886&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3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20&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2D8C&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854&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B78&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2E3&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650&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0C&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68A&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D3&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04B&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0FCF&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998&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296&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1F4C&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E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692&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0FAC&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CCC&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EF0&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063&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DE&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A53&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7E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37B&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E7&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4FF4&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4E&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0A&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B4EF0&quot; wsp:rsidP=&quot;00DB4EF0&quot;&gt;&lt;m:oMathPara&gt;&lt;m:oMath&gt;&lt;m:r&gt;&lt;m:rPr&gt;&lt;m:nor/&gt;&lt;/m:rPr&gt;&lt;w:rPr&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 w:cs=&quot;Times&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lang w:fareast=&quot;FI&quot;/&gt;&lt;/w:rPr&gt;&lt;m:t&gt;=1-&lt;/m:t&gt;&lt;/m:r&gt;&lt;m:f&gt;&lt;m:fPr&gt;&lt;m:ctrlPr&gt;&lt;w:rPr&gt;&lt;w:rFonts w:ascii=&quot;Cambria Math&quot; w:h-ansi=&quot;Cambria Math&quot; w:cs=&quot;Times&quot;/&gt;&lt;wx:font wx:val=&quot;Cambria Math&quot;/&gt;&lt;w:i/&gt;&lt;w:i-cs/&gt;&lt;w:lang w:fareast=&quot;FI&quot;/&gt;&lt;/w:rPr&gt;&lt;/m:ctrlPr&gt;&lt;/m:fPr&gt;&lt;m:num&gt;&lt;m:r&gt;&lt;w:rPr&gt;&lt;w:rFonts w:ascii=&quot;Cambria Math&quot; w:h-ansi=&quot;Cambria Math&quot;/&gt;&lt;wx:font wx:val=&quot;Cambria Math&quot;/&gt;&lt;w:i/&gt;&lt;w:lang w:fareast=&quot;FI&quot;/&gt;&lt;/w:rPr&gt;&lt;m:t&gt;N&lt;/m:t&gt;&lt;/m:r&gt;&lt;/m:num&gt;&lt;m:den&gt;&lt;m:r&gt;&lt;w:rPr&gt;&lt;w:rFonts w:ascii=&quot;Cambria Math&quot; w:h-ansi=&quot;Cambria Math&quot;/&gt;&lt;wx:font wx:val=&quot;Cambria Math&quot;/&gt;&lt;w:i/&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eastAsia="Times New Roman"/>
                <w:sz w:val="20"/>
                <w:szCs w:val="20"/>
                <w:lang w:val="en-GB" w:eastAsia="ko-KR"/>
              </w:rPr>
              <w:instrText xml:space="preserve"> </w:instrText>
            </w:r>
            <w:r>
              <w:rPr>
                <w:rFonts w:eastAsia="Times New Roman"/>
                <w:sz w:val="20"/>
                <w:szCs w:val="20"/>
                <w:lang w:val="en-GB" w:eastAsia="ko-KR"/>
              </w:rPr>
              <w:fldChar w:fldCharType="end"/>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ko-KR"/>
              </w:rPr>
            </w:pPr>
            <w:r>
              <w:rPr>
                <w:rFonts w:eastAsia="Batang"/>
                <w:bCs/>
                <w:sz w:val="20"/>
                <w:szCs w:val="20"/>
                <w:lang w:val="en-GB" w:eastAsia="ko-KR"/>
              </w:rPr>
              <w:t>where N is the total number of beams (pairs) (with reference signal (SSB and/or CSI-RS)) required for measurement for AI/ML, including the beams (pairs) required for additional measurements before/after the prediction if applicable</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ko-KR"/>
              </w:rPr>
            </w:pPr>
            <w:r>
              <w:rPr>
                <w:rFonts w:eastAsia="Batang"/>
                <w:bCs/>
                <w:sz w:val="20"/>
                <w:szCs w:val="20"/>
                <w:lang w:val="en-GB" w:eastAsia="ko-KR"/>
              </w:rPr>
              <w:t>where M is the total number of beams (pairs) (with reference signal (SSB and/or CSI-RS)) required for measurement for baseline scheme</w:t>
            </w:r>
          </w:p>
          <w:p>
            <w:pPr>
              <w:numPr>
                <w:ilvl w:val="0"/>
                <w:numId w:val="10"/>
              </w:numPr>
              <w:overflowPunct w:val="0"/>
              <w:autoSpaceDE w:val="0"/>
              <w:autoSpaceDN w:val="0"/>
              <w:adjustRightInd w:val="0"/>
              <w:snapToGrid w:val="0"/>
              <w:spacing w:before="72" w:beforeLines="30" w:after="72" w:afterLines="30" w:line="288" w:lineRule="auto"/>
              <w:ind w:left="726" w:hanging="363"/>
              <w:contextualSpacing/>
              <w:textAlignment w:val="baseline"/>
              <w:rPr>
                <w:rFonts w:eastAsia="Batang"/>
                <w:bCs/>
                <w:sz w:val="20"/>
                <w:szCs w:val="20"/>
                <w:lang w:val="en-GB" w:eastAsia="ko-KR"/>
              </w:rPr>
            </w:pPr>
            <w:r>
              <w:rPr>
                <w:rFonts w:eastAsia="Batang"/>
                <w:bCs/>
                <w:sz w:val="20"/>
                <w:szCs w:val="20"/>
                <w:lang w:val="en-GB" w:eastAsia="ko-KR"/>
              </w:rPr>
              <w:t>Companies report the assumption on additional measurements</w:t>
            </w:r>
          </w:p>
          <w:p>
            <w:pPr>
              <w:numPr>
                <w:ilvl w:val="0"/>
                <w:numId w:val="10"/>
              </w:numPr>
              <w:overflowPunct w:val="0"/>
              <w:autoSpaceDE w:val="0"/>
              <w:autoSpaceDN w:val="0"/>
              <w:adjustRightInd w:val="0"/>
              <w:snapToGrid w:val="0"/>
              <w:spacing w:before="72" w:beforeLines="30" w:after="72" w:afterLines="30" w:line="288" w:lineRule="auto"/>
              <w:ind w:left="726" w:hanging="363"/>
              <w:contextualSpacing/>
              <w:textAlignment w:val="baseline"/>
              <w:rPr>
                <w:rFonts w:eastAsia="Batang"/>
                <w:bCs/>
                <w:sz w:val="20"/>
                <w:szCs w:val="20"/>
                <w:lang w:val="en-GB" w:eastAsia="ko-KR"/>
              </w:rPr>
            </w:pPr>
            <w:r>
              <w:rPr>
                <w:rFonts w:eastAsia="Batang"/>
                <w:bCs/>
                <w:sz w:val="20"/>
                <w:szCs w:val="20"/>
                <w:lang w:val="en-GB" w:eastAsia="en-US"/>
              </w:rPr>
              <w:t>Companies report the assumption on baseline scheme</w:t>
            </w:r>
          </w:p>
          <w:p>
            <w:pPr>
              <w:numPr>
                <w:ilvl w:val="0"/>
                <w:numId w:val="10"/>
              </w:numPr>
              <w:overflowPunct w:val="0"/>
              <w:autoSpaceDE w:val="0"/>
              <w:autoSpaceDN w:val="0"/>
              <w:adjustRightInd w:val="0"/>
              <w:snapToGrid w:val="0"/>
              <w:spacing w:before="72" w:beforeLines="30" w:after="72" w:afterLines="30" w:line="288" w:lineRule="auto"/>
              <w:ind w:left="726" w:hanging="363"/>
              <w:contextualSpacing/>
              <w:textAlignment w:val="baseline"/>
              <w:rPr>
                <w:rFonts w:eastAsia="Batang"/>
                <w:bCs/>
                <w:sz w:val="20"/>
                <w:szCs w:val="20"/>
                <w:lang w:val="en-GB" w:eastAsia="ko-KR"/>
              </w:rPr>
            </w:pPr>
            <w:r>
              <w:rPr>
                <w:rFonts w:eastAsia="Batang"/>
                <w:bCs/>
                <w:sz w:val="20"/>
                <w:szCs w:val="20"/>
                <w:lang w:val="en-GB" w:eastAsia="en-US"/>
              </w:rPr>
              <w:t>Companies report the assumption on T1 and T2</w:t>
            </w:r>
          </w:p>
          <w:p>
            <w:pPr>
              <w:numPr>
                <w:ilvl w:val="0"/>
                <w:numId w:val="10"/>
              </w:numPr>
              <w:overflowPunct w:val="0"/>
              <w:autoSpaceDE w:val="0"/>
              <w:autoSpaceDN w:val="0"/>
              <w:adjustRightInd w:val="0"/>
              <w:snapToGrid w:val="0"/>
              <w:spacing w:before="72" w:beforeLines="30" w:after="72" w:afterLines="30" w:line="288" w:lineRule="auto"/>
              <w:ind w:left="726" w:hanging="363"/>
              <w:contextualSpacing/>
              <w:textAlignment w:val="baseline"/>
              <w:rPr>
                <w:rFonts w:eastAsia="Batang"/>
                <w:bCs/>
                <w:sz w:val="20"/>
                <w:szCs w:val="20"/>
                <w:lang w:val="en-GB" w:eastAsia="ko-KR"/>
              </w:rPr>
            </w:pPr>
            <w:r>
              <w:rPr>
                <w:rFonts w:eastAsia="Batang"/>
                <w:bCs/>
                <w:sz w:val="20"/>
                <w:szCs w:val="20"/>
                <w:lang w:val="en-GB" w:eastAsia="ko-KR"/>
              </w:rPr>
              <w:t>Other options are not precluded and can be reported by companies.</w:t>
            </w:r>
          </w:p>
          <w:p>
            <w:pPr>
              <w:snapToGrid w:val="0"/>
              <w:spacing w:before="72" w:beforeLines="30" w:after="72" w:afterLines="30" w:line="288" w:lineRule="auto"/>
              <w:jc w:val="both"/>
              <w:rPr>
                <w:rFonts w:eastAsia="Times New Roman"/>
                <w:sz w:val="20"/>
                <w:szCs w:val="20"/>
                <w:lang w:val="en-GB"/>
              </w:rPr>
            </w:pPr>
          </w:p>
          <w:p>
            <w:pPr>
              <w:widowControl w:val="0"/>
              <w:snapToGrid w:val="0"/>
              <w:spacing w:before="72" w:beforeLines="30" w:after="72" w:afterLines="30" w:line="288" w:lineRule="auto"/>
              <w:jc w:val="both"/>
              <w:rPr>
                <w:b/>
                <w:iCs/>
                <w:kern w:val="2"/>
                <w:sz w:val="20"/>
                <w:szCs w:val="20"/>
                <w:u w:val="single"/>
              </w:rPr>
            </w:pPr>
            <w:r>
              <w:rPr>
                <w:b/>
                <w:iCs/>
                <w:kern w:val="2"/>
                <w:sz w:val="20"/>
                <w:szCs w:val="20"/>
                <w:u w:val="single"/>
                <w:lang w:val="en-GB" w:eastAsia="en-US"/>
              </w:rPr>
              <w:t>Agreement</w:t>
            </w:r>
            <w:r>
              <w:rPr>
                <w:b/>
                <w:iCs/>
                <w:kern w:val="2"/>
                <w:sz w:val="20"/>
                <w:szCs w:val="20"/>
                <w:u w:val="single"/>
              </w:rPr>
              <w:t>:</w:t>
            </w:r>
          </w:p>
          <w:p>
            <w:p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en-US"/>
              </w:rPr>
            </w:pPr>
            <w:r>
              <w:rPr>
                <w:rFonts w:eastAsia="Batang"/>
                <w:bCs/>
                <w:sz w:val="20"/>
                <w:szCs w:val="20"/>
                <w:lang w:val="en-GB" w:eastAsia="en-US"/>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en-US"/>
              </w:rPr>
            </w:pPr>
            <w:r>
              <w:rPr>
                <w:rFonts w:eastAsia="Batang"/>
                <w:bCs/>
                <w:sz w:val="20"/>
                <w:szCs w:val="20"/>
                <w:lang w:val="en-GB" w:eastAsia="en-US"/>
              </w:rPr>
              <w:t>UCI overhead reduction = 1- Total UCI payload size for AI/ML/Total UCI payload size of baseline.</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en-US"/>
              </w:rPr>
            </w:pPr>
            <w:r>
              <w:rPr>
                <w:rFonts w:eastAsia="Batang"/>
                <w:bCs/>
                <w:sz w:val="20"/>
                <w:szCs w:val="20"/>
                <w:lang w:val="en-GB" w:eastAsia="en-US"/>
              </w:rPr>
              <w:t>Companies to report detailed assumption of UCI for AI/ML and baseline, e.g., including quantization mechanism</w:t>
            </w:r>
          </w:p>
          <w:p>
            <w:p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en-US"/>
              </w:rPr>
            </w:pPr>
          </w:p>
          <w:p>
            <w:pPr>
              <w:widowControl w:val="0"/>
              <w:snapToGrid w:val="0"/>
              <w:spacing w:before="72" w:beforeLines="30" w:after="72" w:afterLines="30" w:line="288" w:lineRule="auto"/>
              <w:jc w:val="both"/>
              <w:rPr>
                <w:rFonts w:eastAsia="Batang"/>
                <w:bCs/>
                <w:sz w:val="20"/>
                <w:szCs w:val="20"/>
                <w:lang w:val="en-GB" w:eastAsia="en-US"/>
              </w:rPr>
            </w:pPr>
            <w:r>
              <w:rPr>
                <w:b/>
                <w:iCs/>
                <w:kern w:val="2"/>
                <w:sz w:val="20"/>
                <w:szCs w:val="20"/>
                <w:u w:val="single"/>
                <w:lang w:val="en-GB" w:eastAsia="en-US"/>
              </w:rPr>
              <w:t>Agreement</w:t>
            </w:r>
            <w:r>
              <w:rPr>
                <w:b/>
                <w:iCs/>
                <w:kern w:val="2"/>
                <w:sz w:val="20"/>
                <w:szCs w:val="20"/>
                <w:u w:val="single"/>
              </w:rPr>
              <w:t>:</w:t>
            </w:r>
          </w:p>
          <w:p>
            <w:pPr>
              <w:widowControl w:val="0"/>
              <w:suppressAutoHyphens/>
              <w:snapToGrid w:val="0"/>
              <w:spacing w:before="72" w:beforeLines="30" w:after="72" w:afterLines="30" w:line="288" w:lineRule="auto"/>
              <w:contextualSpacing/>
              <w:jc w:val="both"/>
              <w:textAlignment w:val="baseline"/>
              <w:rPr>
                <w:rFonts w:eastAsia="Batang"/>
                <w:iCs/>
                <w:sz w:val="20"/>
                <w:szCs w:val="20"/>
                <w:lang w:val="en-GB" w:eastAsia="en-US"/>
              </w:rPr>
            </w:pPr>
            <w:r>
              <w:rPr>
                <w:rFonts w:eastAsia="Batang"/>
                <w:iCs/>
                <w:sz w:val="20"/>
                <w:szCs w:val="20"/>
                <w:lang w:val="en-GB" w:eastAsia="en-US"/>
              </w:rPr>
              <w:t>At least for evaluation on the performance of DL Tx beam prediction, consider the following options for Rx beam for providing input for AI/ML model for training and/or inference if applicable</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Option 1: Measurements of the “best” Rx beam with exhaustive beam sweeping for each model input sample </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Companies report how to select the “best” Rx beam(s)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en-US"/>
              </w:rPr>
            </w:pPr>
            <w:r>
              <w:rPr>
                <w:rFonts w:eastAsia="Batang"/>
                <w:bCs/>
                <w:sz w:val="20"/>
                <w:szCs w:val="20"/>
                <w:lang w:val="en-GB" w:eastAsia="en-US"/>
              </w:rPr>
              <w:t>Option 2: Measurements of specific Rx beam(s)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en-US"/>
              </w:rPr>
            </w:pPr>
            <w:r>
              <w:rPr>
                <w:rFonts w:eastAsia="Batang"/>
                <w:bCs/>
                <w:sz w:val="20"/>
                <w:szCs w:val="20"/>
                <w:lang w:val="en-GB" w:eastAsia="en-US"/>
              </w:rPr>
              <w:t xml:space="preserve">Companies report how to select specific Rx beam(s)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en-US"/>
              </w:rPr>
            </w:pPr>
            <w:r>
              <w:rPr>
                <w:rFonts w:eastAsia="Batang"/>
                <w:bCs/>
                <w:sz w:val="20"/>
                <w:szCs w:val="20"/>
                <w:lang w:val="en-GB" w:eastAsia="en-US"/>
              </w:rPr>
              <w:t>Option 3: Measurements of random Rx beam(s) per model input sample</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bCs/>
                <w:sz w:val="20"/>
                <w:szCs w:val="20"/>
                <w:lang w:val="en-GB" w:eastAsia="en-US"/>
              </w:rPr>
            </w:pPr>
            <w:r>
              <w:rPr>
                <w:rFonts w:eastAsia="Batang"/>
                <w:bCs/>
                <w:sz w:val="20"/>
                <w:szCs w:val="20"/>
                <w:lang w:val="en-GB" w:eastAsia="en-US"/>
              </w:rPr>
              <w:t>Other options are not precluded and can be reported by companies.</w:t>
            </w:r>
          </w:p>
          <w:p>
            <w:pPr>
              <w:widowControl w:val="0"/>
              <w:suppressAutoHyphens/>
              <w:snapToGrid w:val="0"/>
              <w:spacing w:before="72" w:beforeLines="30" w:after="72" w:afterLines="30" w:line="288" w:lineRule="auto"/>
              <w:contextualSpacing/>
              <w:jc w:val="both"/>
              <w:textAlignment w:val="baseline"/>
              <w:rPr>
                <w:rFonts w:eastAsia="Batang"/>
                <w:iCs/>
                <w:sz w:val="20"/>
                <w:szCs w:val="20"/>
                <w:lang w:val="en-GB" w:eastAsia="en-US"/>
              </w:rPr>
            </w:pPr>
          </w:p>
          <w:p>
            <w:pPr>
              <w:widowControl w:val="0"/>
              <w:snapToGrid w:val="0"/>
              <w:spacing w:before="72" w:beforeLines="30" w:after="72" w:afterLines="30" w:line="288" w:lineRule="auto"/>
              <w:jc w:val="both"/>
              <w:rPr>
                <w:rFonts w:eastAsia="Batang"/>
                <w:iCs/>
                <w:sz w:val="20"/>
                <w:szCs w:val="20"/>
                <w:lang w:val="en-GB" w:eastAsia="en-US"/>
              </w:rPr>
            </w:pPr>
            <w:r>
              <w:rPr>
                <w:b/>
                <w:iCs/>
                <w:kern w:val="2"/>
                <w:sz w:val="20"/>
                <w:szCs w:val="20"/>
                <w:u w:val="single"/>
                <w:lang w:val="en-GB" w:eastAsia="en-US"/>
              </w:rPr>
              <w:t>Agreement</w:t>
            </w:r>
            <w:r>
              <w:rPr>
                <w:b/>
                <w:iCs/>
                <w:kern w:val="2"/>
                <w:sz w:val="20"/>
                <w:szCs w:val="20"/>
                <w:u w:val="single"/>
              </w:rPr>
              <w:t>:</w:t>
            </w:r>
          </w:p>
          <w:p>
            <w:pPr>
              <w:widowControl w:val="0"/>
              <w:suppressAutoHyphens/>
              <w:snapToGrid w:val="0"/>
              <w:spacing w:before="72" w:beforeLines="30" w:after="72" w:afterLines="30" w:line="288" w:lineRule="auto"/>
              <w:contextualSpacing/>
              <w:jc w:val="both"/>
              <w:textAlignment w:val="baseline"/>
              <w:rPr>
                <w:rFonts w:eastAsia="Batang"/>
                <w:iCs/>
                <w:sz w:val="20"/>
                <w:szCs w:val="20"/>
                <w:lang w:val="en-GB" w:eastAsia="en-US"/>
              </w:rPr>
            </w:pPr>
            <w:r>
              <w:rPr>
                <w:rFonts w:eastAsia="Batang"/>
                <w:iCs/>
                <w:sz w:val="20"/>
                <w:szCs w:val="20"/>
                <w:lang w:val="en-GB" w:eastAsia="en-US"/>
              </w:rPr>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At least the following options can be considered:</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eastAsia="en-US"/>
              </w:rPr>
            </w:pPr>
            <w:r>
              <w:rPr>
                <w:rFonts w:eastAsia="Batang"/>
                <w:iCs/>
                <w:sz w:val="20"/>
                <w:szCs w:val="20"/>
                <w:lang w:eastAsia="en-US"/>
              </w:rPr>
              <w:t>Opt A: Identify the quasi-optimal Rx beams to be utilized for measuring Set B/Set C based on the previous measurements.</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eastAsia="en-US"/>
              </w:rPr>
            </w:pPr>
            <w:r>
              <w:rPr>
                <w:rFonts w:eastAsia="Batang"/>
                <w:iCs/>
                <w:sz w:val="20"/>
                <w:szCs w:val="20"/>
                <w:lang w:eastAsia="en-US"/>
              </w:rPr>
              <w:t xml:space="preserve">Companies can report the time information and beam type (e.g., whether the same Tx beam(s) in Set B) of the reference signal to use. </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eastAsia="en-US"/>
              </w:rPr>
            </w:pPr>
            <w:r>
              <w:rPr>
                <w:rFonts w:eastAsia="Batang"/>
                <w:iCs/>
                <w:sz w:val="20"/>
                <w:szCs w:val="20"/>
                <w:lang w:eastAsia="en-US"/>
              </w:rPr>
              <w:t>Companies report how to find the quasi-optimal Rx beam with “previous measurement”</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eastAsia="en-US"/>
              </w:rPr>
            </w:pPr>
            <w:r>
              <w:rPr>
                <w:rFonts w:eastAsia="Batang"/>
                <w:iCs/>
                <w:sz w:val="20"/>
                <w:szCs w:val="20"/>
                <w:lang w:eastAsia="en-US"/>
              </w:rPr>
              <w:t>FFS: Opt B: The Rx beams for measuring Set B/Set C consist of the X% of “best” Rx beam exhaustive Rx beam sweeping and (1-X%) of random Rx beams [or the adjacent Rx beam to the “best” Rx beam].</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eastAsia="en-US"/>
              </w:rPr>
            </w:pPr>
            <w:r>
              <w:rPr>
                <w:rFonts w:eastAsia="Batang"/>
                <w:iCs/>
                <w:sz w:val="20"/>
                <w:szCs w:val="20"/>
                <w:lang w:eastAsia="en-US"/>
              </w:rPr>
              <w:t xml:space="preserve">X%= 80% or 90%, or other values reported by companies. </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eastAsia="en-US"/>
              </w:rPr>
            </w:pPr>
            <w:r>
              <w:rPr>
                <w:rFonts w:eastAsia="Batang"/>
                <w:iCs/>
                <w:sz w:val="20"/>
                <w:szCs w:val="20"/>
                <w:lang w:eastAsia="en-US"/>
              </w:rPr>
              <w:t xml:space="preserve">Note: X% is the percentage of measurements with “best” Rx beams out of all measurements   </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eastAsia="en-US"/>
              </w:rPr>
            </w:pPr>
            <w:r>
              <w:rPr>
                <w:rFonts w:eastAsia="Batang"/>
                <w:iCs/>
                <w:sz w:val="20"/>
                <w:szCs w:val="20"/>
                <w:lang w:eastAsia="en-US"/>
              </w:rPr>
              <w:t>Other options are not precluded.</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eastAsia="en-US"/>
              </w:rPr>
            </w:pPr>
            <w:r>
              <w:rPr>
                <w:rFonts w:eastAsia="Batang"/>
                <w:iCs/>
                <w:sz w:val="20"/>
                <w:szCs w:val="20"/>
                <w:lang w:eastAsia="en-US"/>
              </w:rPr>
              <w:t xml:space="preserve">Companies report the measurement/RS overhead together with beam prediction accuracy. </w:t>
            </w:r>
          </w:p>
          <w:p>
            <w:pPr>
              <w:widowControl w:val="0"/>
              <w:suppressAutoHyphens/>
              <w:snapToGrid w:val="0"/>
              <w:spacing w:before="72" w:beforeLines="30" w:after="72" w:afterLines="30" w:line="288" w:lineRule="auto"/>
              <w:contextualSpacing/>
              <w:jc w:val="both"/>
              <w:textAlignment w:val="baseline"/>
              <w:rPr>
                <w:rFonts w:eastAsia="Batang"/>
                <w:iCs/>
                <w:sz w:val="20"/>
                <w:szCs w:val="20"/>
                <w:lang w:val="en-GB" w:eastAsia="en-US"/>
              </w:rPr>
            </w:pPr>
          </w:p>
          <w:p>
            <w:pPr>
              <w:widowControl w:val="0"/>
              <w:snapToGrid w:val="0"/>
              <w:spacing w:before="72" w:beforeLines="30" w:after="72" w:afterLines="30" w:line="288" w:lineRule="auto"/>
              <w:jc w:val="both"/>
              <w:rPr>
                <w:rFonts w:eastAsia="Batang"/>
                <w:iCs/>
                <w:sz w:val="20"/>
                <w:szCs w:val="20"/>
                <w:lang w:val="en-GB" w:eastAsia="en-US"/>
              </w:rPr>
            </w:pPr>
            <w:r>
              <w:rPr>
                <w:b/>
                <w:iCs/>
                <w:kern w:val="2"/>
                <w:sz w:val="20"/>
                <w:szCs w:val="20"/>
                <w:u w:val="single"/>
                <w:lang w:val="en-GB" w:eastAsia="en-US"/>
              </w:rPr>
              <w:t>Agreement</w:t>
            </w:r>
            <w:r>
              <w:rPr>
                <w:b/>
                <w:iCs/>
                <w:kern w:val="2"/>
                <w:sz w:val="20"/>
                <w:szCs w:val="20"/>
                <w:u w:val="single"/>
              </w:rPr>
              <w:t>:</w:t>
            </w:r>
          </w:p>
          <w:p>
            <w:pPr>
              <w:widowControl w:val="0"/>
              <w:suppressAutoHyphens/>
              <w:snapToGrid w:val="0"/>
              <w:spacing w:before="72" w:beforeLines="30" w:after="72" w:afterLines="30" w:line="288" w:lineRule="auto"/>
              <w:contextualSpacing/>
              <w:jc w:val="both"/>
              <w:textAlignment w:val="baseline"/>
              <w:rPr>
                <w:rFonts w:eastAsia="Batang"/>
                <w:iCs/>
                <w:sz w:val="20"/>
                <w:szCs w:val="20"/>
                <w:lang w:val="en-GB" w:eastAsia="en-US"/>
              </w:rPr>
            </w:pPr>
            <w:r>
              <w:rPr>
                <w:rFonts w:eastAsia="Batang"/>
                <w:iCs/>
                <w:sz w:val="20"/>
                <w:szCs w:val="20"/>
                <w:lang w:val="en-GB" w:eastAsia="en-US"/>
              </w:rPr>
              <w:t>For AI/ML in beam management, further study performance with different types of label, considering the following:</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Option 1a: Top-1 beam(pair) in Set A</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Option 1b: Top-K beam (pair)s in Set A</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Option 2a: L1-RSRPs per beam of all the beams(pairs) in Set A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Option 2b: Top-K beam(pair)s in Set A and the corresponding L1-RSRPs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Option 2c: Top-1 beam(pair) in Set A and the corresponding L1-RSRP</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Other options are not precluded and can be reported by companies. </w:t>
            </w:r>
          </w:p>
          <w:p>
            <w:pPr>
              <w:snapToGrid w:val="0"/>
              <w:spacing w:before="72" w:beforeLines="30" w:after="72" w:afterLines="30" w:line="288" w:lineRule="auto"/>
              <w:jc w:val="both"/>
              <w:rPr>
                <w:rFonts w:eastAsia="Times New Roman"/>
                <w:sz w:val="20"/>
                <w:szCs w:val="20"/>
                <w:lang w:val="en-GB"/>
              </w:rPr>
            </w:pPr>
          </w:p>
          <w:p>
            <w:pPr>
              <w:widowControl w:val="0"/>
              <w:snapToGrid w:val="0"/>
              <w:spacing w:before="72" w:beforeLines="30" w:after="72" w:afterLines="30" w:line="288" w:lineRule="auto"/>
              <w:jc w:val="both"/>
              <w:rPr>
                <w:b/>
                <w:iCs/>
                <w:kern w:val="2"/>
                <w:sz w:val="20"/>
                <w:szCs w:val="20"/>
                <w:u w:val="single"/>
              </w:rPr>
            </w:pPr>
            <w:r>
              <w:rPr>
                <w:b/>
                <w:iCs/>
                <w:kern w:val="2"/>
                <w:sz w:val="20"/>
                <w:szCs w:val="20"/>
                <w:u w:val="single"/>
                <w:lang w:val="en-GB"/>
              </w:rPr>
              <w:t>Conclusion</w:t>
            </w:r>
            <w:r>
              <w:rPr>
                <w:b/>
                <w:iCs/>
                <w:kern w:val="2"/>
                <w:sz w:val="20"/>
                <w:szCs w:val="20"/>
                <w:u w:val="single"/>
              </w:rPr>
              <w:t>:</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 xml:space="preserve">It is optional to evaluate and compare the performance for BM Case-1 with different UE distribution assumptions: </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eastAsia="en-US"/>
              </w:rPr>
            </w:pPr>
            <w:r>
              <w:rPr>
                <w:rFonts w:eastAsia="Batang"/>
                <w:iCs/>
                <w:sz w:val="20"/>
                <w:szCs w:val="20"/>
                <w:lang w:val="en-GB" w:eastAsia="en-US"/>
              </w:rPr>
              <w:t>Option 1: 80% indoor, 20% outdoor as in TR 38.901</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iCs/>
                <w:sz w:val="20"/>
                <w:szCs w:val="20"/>
                <w:lang w:val="en-GB"/>
              </w:rPr>
            </w:pPr>
            <w:r>
              <w:rPr>
                <w:rFonts w:eastAsia="Batang"/>
                <w:iCs/>
                <w:sz w:val="20"/>
                <w:szCs w:val="20"/>
                <w:lang w:val="en-GB" w:eastAsia="en-US"/>
              </w:rPr>
              <w:t>Option 2: 100% outdoor</w:t>
            </w:r>
          </w:p>
          <w:p>
            <w:pPr>
              <w:overflowPunct w:val="0"/>
              <w:autoSpaceDE w:val="0"/>
              <w:autoSpaceDN w:val="0"/>
              <w:adjustRightInd w:val="0"/>
              <w:snapToGrid w:val="0"/>
              <w:spacing w:before="72" w:beforeLines="30" w:after="72" w:afterLines="30" w:line="288" w:lineRule="auto"/>
              <w:contextualSpacing/>
              <w:textAlignment w:val="baseline"/>
              <w:rPr>
                <w:rFonts w:eastAsia="Times New Roman"/>
                <w:sz w:val="20"/>
                <w:szCs w:val="20"/>
                <w:lang w:val="en-GB"/>
              </w:rPr>
            </w:pPr>
          </w:p>
          <w:p>
            <w:pPr>
              <w:widowControl w:val="0"/>
              <w:snapToGrid w:val="0"/>
              <w:spacing w:before="72" w:beforeLines="30" w:after="72" w:afterLines="30" w:line="288" w:lineRule="auto"/>
              <w:jc w:val="both"/>
              <w:rPr>
                <w:b/>
                <w:iCs/>
                <w:kern w:val="2"/>
                <w:sz w:val="20"/>
                <w:szCs w:val="20"/>
                <w:u w:val="single"/>
              </w:rPr>
            </w:pPr>
            <w:r>
              <w:rPr>
                <w:b/>
                <w:iCs/>
                <w:kern w:val="2"/>
                <w:sz w:val="20"/>
                <w:szCs w:val="20"/>
                <w:u w:val="single"/>
                <w:lang w:val="en-GB"/>
              </w:rPr>
              <w:t>Observation</w:t>
            </w:r>
            <w:r>
              <w:rPr>
                <w:b/>
                <w:iCs/>
                <w:kern w:val="2"/>
                <w:sz w:val="20"/>
                <w:szCs w:val="20"/>
                <w:u w:val="single"/>
              </w:rPr>
              <w:t>:</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Times New Roman"/>
                <w:sz w:val="20"/>
                <w:szCs w:val="20"/>
                <w:lang w:val="en-GB"/>
              </w:rPr>
            </w:pPr>
            <w:r>
              <w:rPr>
                <w:rFonts w:eastAsia="Batang"/>
                <w:iCs/>
                <w:sz w:val="20"/>
                <w:szCs w:val="20"/>
                <w:lang w:val="en-GB" w:eastAsia="en-US"/>
              </w:rPr>
              <w:t>At least for BM-Case1 for inference of DL Tx beam with L1-RSRPs of all beams in Set B, existing quantization granularity of L1-RSRP (i.e., 1dB for the best beam, 2dB for the difference to the best beam) causes [a minor loss x%~y%, if applicable] in beam prediction accuracy compared to unquantized L1-RSRPs of beams in Set B.</w:t>
            </w:r>
          </w:p>
        </w:tc>
      </w:tr>
    </w:tbl>
    <w:p>
      <w:pPr>
        <w:snapToGrid w:val="0"/>
        <w:spacing w:before="72" w:beforeLines="30" w:after="72" w:afterLines="30" w:line="288" w:lineRule="auto"/>
        <w:jc w:val="both"/>
        <w:rPr>
          <w:rFonts w:eastAsia="Times New Roman"/>
          <w:sz w:val="20"/>
          <w:szCs w:val="20"/>
          <w:lang w:val="en-GB"/>
        </w:rPr>
      </w:pPr>
    </w:p>
    <w:p>
      <w:pPr>
        <w:snapToGrid w:val="0"/>
        <w:spacing w:before="72" w:beforeLines="30" w:after="72" w:afterLines="30" w:line="288" w:lineRule="auto"/>
        <w:jc w:val="both"/>
        <w:rPr>
          <w:rFonts w:eastAsia="Times New Roman"/>
          <w:sz w:val="20"/>
          <w:szCs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 xml:space="preserve">Evaluation for spatial domain beam prediction </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General description: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The task of beam selection aims at aligning the best beam at both the transmitter and receiver, which is challenging due to mobility and large attenuation in mmWave communication systems. A typical way for beam selection is to exhaustively sweep all beam pairs to find the best beam pair. However, as the number of beams grows, the beam selection overhead and associated power consumption for measurement would be unacceptably high. Therefore, we utilize AI/ML technologies to assist beam selection and explore the spatial domain beam prediction with low overhead as shown in </w:t>
      </w:r>
      <w:r>
        <w:rPr>
          <w:rFonts w:hint="eastAsia"/>
          <w:sz w:val="20"/>
          <w:szCs w:val="20"/>
        </w:rPr>
        <w:t>F</w:t>
      </w:r>
      <w:r>
        <w:rPr>
          <w:rFonts w:hint="eastAsia" w:eastAsia="Times New Roman"/>
          <w:sz w:val="20"/>
          <w:szCs w:val="20"/>
          <w:lang w:val="en-GB"/>
        </w:rPr>
        <w:t>igure</w:t>
      </w:r>
      <w:r>
        <w:rPr>
          <w:rFonts w:hint="eastAsia"/>
          <w:sz w:val="20"/>
          <w:szCs w:val="20"/>
        </w:rPr>
        <w:t xml:space="preserve"> 2-1</w:t>
      </w:r>
      <w:r>
        <w:rPr>
          <w:rFonts w:hint="eastAsia" w:eastAsia="Times New Roman"/>
          <w:sz w:val="20"/>
          <w:szCs w:val="20"/>
          <w:lang w:val="en-GB"/>
        </w:rPr>
        <w:t> below. The measured RSRPs of partial beam</w:t>
      </w:r>
      <w:r>
        <w:rPr>
          <w:rFonts w:hint="eastAsia"/>
          <w:sz w:val="20"/>
          <w:szCs w:val="20"/>
        </w:rPr>
        <w:t>s</w:t>
      </w:r>
      <w:r>
        <w:rPr>
          <w:rFonts w:hint="eastAsia" w:eastAsia="Times New Roman"/>
          <w:sz w:val="20"/>
          <w:szCs w:val="20"/>
          <w:lang w:val="en-GB"/>
        </w:rPr>
        <w:t xml:space="preserve"> </w:t>
      </w:r>
      <w:r>
        <w:rPr>
          <w:rFonts w:hint="eastAsia"/>
          <w:sz w:val="20"/>
          <w:szCs w:val="20"/>
        </w:rPr>
        <w:t xml:space="preserve">(or beam </w:t>
      </w:r>
      <w:r>
        <w:rPr>
          <w:rFonts w:hint="eastAsia" w:eastAsia="Times New Roman"/>
          <w:sz w:val="20"/>
          <w:szCs w:val="20"/>
          <w:lang w:val="en-GB"/>
        </w:rPr>
        <w:t>pairs</w:t>
      </w:r>
      <w:r>
        <w:rPr>
          <w:rFonts w:hint="eastAsia"/>
          <w:sz w:val="20"/>
          <w:szCs w:val="20"/>
        </w:rPr>
        <w:t>)</w:t>
      </w:r>
      <w:r>
        <w:rPr>
          <w:rFonts w:hint="eastAsia" w:eastAsia="Times New Roman"/>
          <w:sz w:val="20"/>
          <w:szCs w:val="20"/>
          <w:lang w:val="en-GB"/>
        </w:rPr>
        <w:t xml:space="preserve"> are used as the AI input and the predicted RSRPs of all</w:t>
      </w:r>
      <w:r>
        <w:rPr>
          <w:rFonts w:hint="eastAsia" w:eastAsia="Times New Roman"/>
          <w:sz w:val="20"/>
          <w:szCs w:val="20"/>
        </w:rPr>
        <w:t xml:space="preserve"> </w:t>
      </w:r>
      <w:r>
        <w:rPr>
          <w:rFonts w:hint="eastAsia" w:eastAsia="Times New Roman"/>
          <w:sz w:val="20"/>
          <w:szCs w:val="20"/>
          <w:lang w:val="en-GB"/>
        </w:rPr>
        <w:t>beam</w:t>
      </w:r>
      <w:r>
        <w:rPr>
          <w:rFonts w:hint="eastAsia"/>
          <w:sz w:val="20"/>
          <w:szCs w:val="20"/>
        </w:rPr>
        <w:t>s</w:t>
      </w:r>
      <w:r>
        <w:rPr>
          <w:rFonts w:hint="eastAsia" w:eastAsia="Times New Roman"/>
          <w:sz w:val="20"/>
          <w:szCs w:val="20"/>
          <w:lang w:val="en-GB"/>
        </w:rPr>
        <w:t xml:space="preserve"> </w:t>
      </w:r>
      <w:r>
        <w:rPr>
          <w:rFonts w:hint="eastAsia"/>
          <w:sz w:val="20"/>
          <w:szCs w:val="20"/>
        </w:rPr>
        <w:t xml:space="preserve">(or beam </w:t>
      </w:r>
      <w:r>
        <w:rPr>
          <w:rFonts w:hint="eastAsia" w:eastAsia="Times New Roman"/>
          <w:sz w:val="20"/>
          <w:szCs w:val="20"/>
          <w:lang w:val="en-GB"/>
        </w:rPr>
        <w:t>pairs</w:t>
      </w:r>
      <w:r>
        <w:rPr>
          <w:rFonts w:hint="eastAsia"/>
          <w:sz w:val="20"/>
          <w:szCs w:val="20"/>
        </w:rPr>
        <w:t>)</w:t>
      </w:r>
      <w:r>
        <w:rPr>
          <w:rFonts w:hint="eastAsia" w:eastAsia="Times New Roman"/>
          <w:sz w:val="20"/>
          <w:szCs w:val="20"/>
          <w:lang w:val="en-GB"/>
        </w:rPr>
        <w:t xml:space="preserve"> are used as the AI output, where each beam pair includes a transmit beam at the gNB and a receive beam at the UE. Besides, </w:t>
      </w:r>
      <w:r>
        <w:rPr>
          <w:rFonts w:hint="eastAsia"/>
          <w:sz w:val="20"/>
          <w:szCs w:val="20"/>
        </w:rPr>
        <w:t xml:space="preserve">for the case of spatial domain beam prediction, </w:t>
      </w:r>
      <w:r>
        <w:rPr>
          <w:rFonts w:hint="eastAsia" w:eastAsia="Times New Roman"/>
          <w:sz w:val="20"/>
          <w:szCs w:val="20"/>
          <w:lang w:val="en-GB"/>
        </w:rPr>
        <w:t>the beam set for measurement</w:t>
      </w:r>
      <w:r>
        <w:rPr>
          <w:rFonts w:hint="eastAsia" w:eastAsia="Times New Roman"/>
          <w:sz w:val="20"/>
          <w:szCs w:val="20"/>
        </w:rPr>
        <w:t xml:space="preserve"> (i.e., set B)</w:t>
      </w:r>
      <w:r>
        <w:rPr>
          <w:rFonts w:hint="eastAsia" w:eastAsia="Times New Roman"/>
          <w:sz w:val="20"/>
          <w:szCs w:val="20"/>
          <w:lang w:val="en-GB"/>
        </w:rPr>
        <w:t xml:space="preserve"> is a subset of the whole beam set</w:t>
      </w:r>
      <w:r>
        <w:rPr>
          <w:rFonts w:hint="eastAsia" w:eastAsia="Times New Roman"/>
          <w:sz w:val="20"/>
          <w:szCs w:val="20"/>
        </w:rPr>
        <w:t xml:space="preserve"> for prediction (i.e., set A)</w:t>
      </w:r>
      <w:r>
        <w:rPr>
          <w:rFonts w:hint="eastAsia" w:eastAsia="宋体"/>
          <w:sz w:val="20"/>
          <w:szCs w:val="20"/>
          <w:lang w:val="en-US" w:eastAsia="zh-CN"/>
        </w:rPr>
        <w:t xml:space="preserve"> in our simulation</w:t>
      </w:r>
      <w:r>
        <w:rPr>
          <w:rFonts w:hint="eastAsia" w:eastAsia="Times New Roman"/>
          <w:sz w:val="20"/>
          <w:szCs w:val="20"/>
          <w:lang w:val="en-GB"/>
        </w:rPr>
        <w:t xml:space="preserve">. </w:t>
      </w:r>
    </w:p>
    <w:p>
      <w:pPr>
        <w:spacing w:before="72" w:beforeLines="30" w:after="72" w:afterLines="30" w:line="288" w:lineRule="auto"/>
        <w:jc w:val="center"/>
      </w:pPr>
      <w:r>
        <w:rPr>
          <w:rFonts w:hint="eastAsia"/>
          <w:sz w:val="20"/>
          <w:szCs w:val="20"/>
        </w:rPr>
        <w:drawing>
          <wp:inline distT="0" distB="0" distL="114300" distR="114300">
            <wp:extent cx="4515485" cy="1178560"/>
            <wp:effectExtent l="0" t="0" r="7620" b="0"/>
            <wp:docPr id="7" name="图片 7" descr="spatial domain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atial domain beam prediction"/>
                    <pic:cNvPicPr>
                      <a:picLocks noChangeAspect="1"/>
                    </pic:cNvPicPr>
                  </pic:nvPicPr>
                  <pic:blipFill>
                    <a:blip r:embed="rId7"/>
                    <a:stretch>
                      <a:fillRect/>
                    </a:stretch>
                  </pic:blipFill>
                  <pic:spPr>
                    <a:xfrm>
                      <a:off x="0" y="0"/>
                      <a:ext cx="4515485" cy="1178560"/>
                    </a:xfrm>
                    <a:prstGeom prst="rect">
                      <a:avLst/>
                    </a:prstGeom>
                  </pic:spPr>
                </pic:pic>
              </a:graphicData>
            </a:graphic>
          </wp:inline>
        </w:drawing>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 xml:space="preserve">Figure </w:t>
      </w:r>
      <w:r>
        <w:rPr>
          <w:rFonts w:hint="eastAsia"/>
          <w:sz w:val="20"/>
          <w:szCs w:val="20"/>
        </w:rPr>
        <w:t>2</w:t>
      </w:r>
      <w:r>
        <w:rPr>
          <w:rFonts w:hint="eastAsia" w:eastAsia="Times New Roman"/>
          <w:sz w:val="20"/>
          <w:szCs w:val="20"/>
          <w:lang w:val="en-GB"/>
        </w:rPr>
        <w:t>-1. Illustration of AI/ML based spatial domain beam prediction.</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Dataset construction: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To evaluate performance of the AI/ML based method for spatial</w:t>
      </w:r>
      <w:r>
        <w:rPr>
          <w:rFonts w:hint="eastAsia"/>
          <w:sz w:val="20"/>
          <w:szCs w:val="20"/>
        </w:rPr>
        <w:t xml:space="preserve"> </w:t>
      </w:r>
      <w:r>
        <w:rPr>
          <w:rFonts w:hint="eastAsia" w:eastAsia="Times New Roman"/>
          <w:sz w:val="20"/>
          <w:szCs w:val="20"/>
          <w:lang w:val="en-GB"/>
        </w:rPr>
        <w:t xml:space="preserve">domain beam prediction, </w:t>
      </w:r>
      <w:r>
        <w:rPr>
          <w:rFonts w:hint="eastAsia" w:eastAsia="Times New Roman"/>
          <w:sz w:val="20"/>
          <w:szCs w:val="20"/>
        </w:rPr>
        <w:t xml:space="preserve">we generate the </w:t>
      </w:r>
      <w:r>
        <w:rPr>
          <w:rFonts w:hint="eastAsia" w:eastAsia="Times New Roman"/>
          <w:sz w:val="20"/>
          <w:szCs w:val="20"/>
          <w:lang w:val="en-GB"/>
        </w:rPr>
        <w:t>dataset for model training</w:t>
      </w:r>
      <w:r>
        <w:rPr>
          <w:rFonts w:hint="eastAsia"/>
          <w:sz w:val="20"/>
          <w:szCs w:val="20"/>
        </w:rPr>
        <w:t xml:space="preserve">, model </w:t>
      </w:r>
      <w:r>
        <w:rPr>
          <w:rFonts w:hint="eastAsia" w:eastAsia="Times New Roman"/>
          <w:sz w:val="20"/>
          <w:szCs w:val="20"/>
        </w:rPr>
        <w:t xml:space="preserve">validation and model testing </w:t>
      </w:r>
      <w:r>
        <w:rPr>
          <w:rFonts w:hint="eastAsia" w:eastAsia="Times New Roman"/>
          <w:sz w:val="20"/>
          <w:szCs w:val="20"/>
          <w:lang w:val="en-GB"/>
        </w:rPr>
        <w:t>according to agreed parameters in RAN1#109e, which is summarized in Table I in the appendix. Specifically, 10 UEs per sector per drop are randomly generated with a total of 500 simulation drops. 80% of UEs are located in indoor and 20% of UEs are located in outdoor as in TR 38.901. The UE</w:t>
      </w:r>
      <w:r>
        <w:rPr>
          <w:rFonts w:hint="eastAsia"/>
          <w:sz w:val="20"/>
          <w:szCs w:val="20"/>
          <w:lang w:val="en-US" w:eastAsia="zh-CN"/>
        </w:rPr>
        <w:t xml:space="preserve"> </w:t>
      </w:r>
      <w:r>
        <w:rPr>
          <w:rFonts w:hint="eastAsia" w:eastAsia="Times New Roman"/>
          <w:sz w:val="20"/>
          <w:szCs w:val="20"/>
          <w:lang w:val="en-GB"/>
        </w:rPr>
        <w:t xml:space="preserve">speed </w:t>
      </w:r>
      <w:r>
        <w:rPr>
          <w:rFonts w:hint="eastAsia"/>
          <w:sz w:val="20"/>
          <w:szCs w:val="20"/>
          <w:lang w:val="en-US" w:eastAsia="zh-CN"/>
        </w:rPr>
        <w:t xml:space="preserve">is </w:t>
      </w:r>
      <w:r>
        <w:rPr>
          <w:rFonts w:hint="eastAsia" w:eastAsia="Times New Roman"/>
          <w:sz w:val="20"/>
          <w:szCs w:val="20"/>
          <w:lang w:val="en-GB"/>
        </w:rPr>
        <w:t>fixed to be 3</w:t>
      </w:r>
      <w:r>
        <w:rPr>
          <w:rFonts w:hint="eastAsia" w:eastAsia="Times New Roman"/>
          <w:sz w:val="20"/>
          <w:szCs w:val="20"/>
        </w:rPr>
        <w:t xml:space="preserve"> </w:t>
      </w:r>
      <w:r>
        <w:rPr>
          <w:rFonts w:hint="eastAsia" w:eastAsia="Times New Roman"/>
          <w:sz w:val="20"/>
          <w:szCs w:val="20"/>
          <w:lang w:val="en-GB"/>
        </w:rPr>
        <w:t>km/h. For antenna configuration, the baseline agreed in RAN#1</w:t>
      </w:r>
      <w:r>
        <w:rPr>
          <w:rFonts w:hint="eastAsia"/>
          <w:sz w:val="20"/>
          <w:szCs w:val="20"/>
        </w:rPr>
        <w:t>10bis-</w:t>
      </w:r>
      <w:r>
        <w:rPr>
          <w:rFonts w:hint="eastAsia" w:eastAsia="Times New Roman"/>
          <w:sz w:val="20"/>
          <w:szCs w:val="20"/>
          <w:lang w:val="en-GB"/>
        </w:rPr>
        <w:t>e is adopted directly, where a single panel with (M, N, P, Mg, Ng) = (4, 8, 2, 1, 1), (dV, dH) = (0.5, 0.5)</w:t>
      </w:r>
      <w:r>
        <w:rPr>
          <w:rFonts w:eastAsia="Times New Roman"/>
          <w:sz w:val="20"/>
          <w:szCs w:val="20"/>
          <w:lang w:val="en-GB"/>
        </w:rPr>
        <w:t xml:space="preserve"> </w:t>
      </w:r>
      <w:r>
        <w:rPr>
          <w:rFonts w:hint="eastAsia" w:eastAsia="Times New Roman"/>
          <w:sz w:val="20"/>
          <w:szCs w:val="20"/>
          <w:lang w:val="en-GB"/>
        </w:rPr>
        <w:t>λ and 2 panels with (M, N, P, Mg, Ng) = (1, 4, 2, 1, 2) are used by the gNB and UE, respectively. Besides, the gNB and UE are equipped with 64 Tx beams in total and 4 Rx beams per panel, respectively.</w:t>
      </w:r>
      <w:r>
        <w:rPr>
          <w:rFonts w:hint="eastAsia"/>
          <w:sz w:val="20"/>
          <w:szCs w:val="20"/>
        </w:rPr>
        <w:t xml:space="preserve"> </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AI/ML model and training methodology:</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lang w:val="en-GB"/>
        </w:rPr>
        <w:t xml:space="preserve">For the spatial domain beam prediction, </w:t>
      </w:r>
      <w:r>
        <w:rPr>
          <w:rFonts w:hint="eastAsia" w:eastAsia="Times New Roman"/>
          <w:sz w:val="20"/>
          <w:szCs w:val="20"/>
        </w:rPr>
        <w:t xml:space="preserve">a </w:t>
      </w:r>
      <w:r>
        <w:rPr>
          <w:rFonts w:hint="eastAsia" w:eastAsia="Times New Roman"/>
          <w:sz w:val="20"/>
          <w:szCs w:val="20"/>
          <w:lang w:val="en-GB"/>
        </w:rPr>
        <w:t>full</w:t>
      </w:r>
      <w:r>
        <w:rPr>
          <w:rFonts w:hint="eastAsia"/>
          <w:sz w:val="20"/>
          <w:szCs w:val="20"/>
        </w:rPr>
        <w:t>y</w:t>
      </w:r>
      <w:r>
        <w:rPr>
          <w:rFonts w:hint="eastAsia" w:eastAsia="Times New Roman"/>
          <w:sz w:val="20"/>
          <w:szCs w:val="20"/>
          <w:lang w:val="en-GB"/>
        </w:rPr>
        <w:t xml:space="preserve"> connected network </w:t>
      </w:r>
      <w:r>
        <w:rPr>
          <w:rFonts w:hint="eastAsia" w:eastAsia="Times New Roman"/>
          <w:sz w:val="20"/>
          <w:szCs w:val="20"/>
        </w:rPr>
        <w:t xml:space="preserve">with 6 layers </w:t>
      </w:r>
      <w:r>
        <w:rPr>
          <w:rFonts w:hint="eastAsia" w:eastAsia="Times New Roman"/>
          <w:sz w:val="20"/>
          <w:szCs w:val="20"/>
          <w:lang w:val="en-GB"/>
        </w:rPr>
        <w:t>is used with measured RSRPs of partial beam</w:t>
      </w:r>
      <w:r>
        <w:rPr>
          <w:rFonts w:hint="eastAsia"/>
          <w:sz w:val="20"/>
          <w:szCs w:val="20"/>
        </w:rPr>
        <w:t>s</w:t>
      </w:r>
      <w:r>
        <w:rPr>
          <w:rFonts w:hint="eastAsia" w:eastAsia="Times New Roman"/>
          <w:sz w:val="20"/>
          <w:szCs w:val="20"/>
          <w:lang w:val="en-GB"/>
        </w:rPr>
        <w:t xml:space="preserve"> </w:t>
      </w:r>
      <w:r>
        <w:rPr>
          <w:rFonts w:hint="eastAsia"/>
          <w:sz w:val="20"/>
          <w:szCs w:val="20"/>
        </w:rPr>
        <w:t xml:space="preserve">(or beam </w:t>
      </w:r>
      <w:r>
        <w:rPr>
          <w:rFonts w:hint="eastAsia" w:eastAsia="Times New Roman"/>
          <w:sz w:val="20"/>
          <w:szCs w:val="20"/>
          <w:lang w:val="en-GB"/>
        </w:rPr>
        <w:t>pairs</w:t>
      </w:r>
      <w:r>
        <w:rPr>
          <w:rFonts w:hint="eastAsia" w:eastAsia="宋体"/>
          <w:sz w:val="20"/>
          <w:szCs w:val="20"/>
          <w:lang w:val="en-US" w:eastAsia="zh-CN"/>
        </w:rPr>
        <w:t>, i.e., Set B</w:t>
      </w:r>
      <w:r>
        <w:rPr>
          <w:rFonts w:hint="eastAsia"/>
          <w:sz w:val="20"/>
          <w:szCs w:val="20"/>
        </w:rPr>
        <w:t>)</w:t>
      </w:r>
      <w:r>
        <w:rPr>
          <w:rFonts w:hint="eastAsia" w:eastAsia="Times New Roman"/>
          <w:sz w:val="20"/>
          <w:szCs w:val="20"/>
          <w:lang w:val="en-GB"/>
        </w:rPr>
        <w:t xml:space="preserve"> being used as the </w:t>
      </w:r>
      <w:r>
        <w:rPr>
          <w:rFonts w:hint="eastAsia"/>
          <w:sz w:val="20"/>
          <w:szCs w:val="20"/>
          <w:lang w:eastAsia="zh-CN"/>
        </w:rPr>
        <w:t xml:space="preserve">AI/ML model </w:t>
      </w:r>
      <w:r>
        <w:rPr>
          <w:rFonts w:hint="eastAsia" w:eastAsia="Times New Roman"/>
          <w:sz w:val="20"/>
          <w:szCs w:val="20"/>
          <w:lang w:val="en-GB"/>
        </w:rPr>
        <w:t xml:space="preserve">input </w:t>
      </w:r>
      <w:bookmarkStart w:id="0" w:name="OLE_LINK7"/>
      <w:r>
        <w:rPr>
          <w:rFonts w:hint="eastAsia" w:eastAsia="Times New Roman"/>
          <w:sz w:val="20"/>
          <w:szCs w:val="20"/>
          <w:lang w:val="en-GB"/>
        </w:rPr>
        <w:t>and predicted RSRPs of all beam</w:t>
      </w:r>
      <w:r>
        <w:rPr>
          <w:rFonts w:hint="eastAsia"/>
          <w:sz w:val="20"/>
          <w:szCs w:val="20"/>
        </w:rPr>
        <w:t>s</w:t>
      </w:r>
      <w:r>
        <w:rPr>
          <w:rFonts w:hint="eastAsia" w:eastAsia="Times New Roman"/>
          <w:sz w:val="20"/>
          <w:szCs w:val="20"/>
          <w:lang w:val="en-GB"/>
        </w:rPr>
        <w:t xml:space="preserve"> </w:t>
      </w:r>
      <w:r>
        <w:rPr>
          <w:rFonts w:hint="eastAsia"/>
          <w:sz w:val="20"/>
          <w:szCs w:val="20"/>
        </w:rPr>
        <w:t xml:space="preserve">(or beam </w:t>
      </w:r>
      <w:r>
        <w:rPr>
          <w:rFonts w:hint="eastAsia" w:eastAsia="Times New Roman"/>
          <w:sz w:val="20"/>
          <w:szCs w:val="20"/>
          <w:lang w:val="en-GB"/>
        </w:rPr>
        <w:t>pairs</w:t>
      </w:r>
      <w:r>
        <w:rPr>
          <w:rFonts w:hint="eastAsia" w:eastAsia="宋体"/>
          <w:sz w:val="20"/>
          <w:szCs w:val="20"/>
          <w:lang w:val="en-US" w:eastAsia="zh-CN"/>
        </w:rPr>
        <w:t>,  i.e., Set A</w:t>
      </w:r>
      <w:r>
        <w:rPr>
          <w:rFonts w:hint="eastAsia"/>
          <w:sz w:val="20"/>
          <w:szCs w:val="20"/>
        </w:rPr>
        <w:t>)</w:t>
      </w:r>
      <w:r>
        <w:rPr>
          <w:rFonts w:hint="eastAsia" w:eastAsia="Times New Roman"/>
          <w:sz w:val="20"/>
          <w:szCs w:val="20"/>
          <w:lang w:val="en-GB"/>
        </w:rPr>
        <w:t xml:space="preserve"> being used as the </w:t>
      </w:r>
      <w:r>
        <w:rPr>
          <w:rFonts w:hint="eastAsia"/>
          <w:sz w:val="20"/>
          <w:szCs w:val="20"/>
          <w:lang w:eastAsia="zh-CN"/>
        </w:rPr>
        <w:t xml:space="preserve">AI/ML model </w:t>
      </w:r>
      <w:r>
        <w:rPr>
          <w:rFonts w:hint="eastAsia" w:eastAsia="Times New Roman"/>
          <w:sz w:val="20"/>
          <w:szCs w:val="20"/>
          <w:lang w:val="en-GB"/>
        </w:rPr>
        <w:t>output.</w:t>
      </w:r>
      <w:bookmarkEnd w:id="0"/>
      <w:r>
        <w:rPr>
          <w:rFonts w:hint="eastAsia" w:eastAsia="Times New Roman"/>
          <w:sz w:val="20"/>
          <w:szCs w:val="20"/>
          <w:lang w:val="en-GB"/>
        </w:rPr>
        <w:t xml:space="preserve"> </w:t>
      </w:r>
      <w:r>
        <w:rPr>
          <w:rFonts w:hint="eastAsia" w:eastAsia="Times New Roman"/>
          <w:sz w:val="20"/>
          <w:szCs w:val="20"/>
        </w:rPr>
        <w:t xml:space="preserve">Both the </w:t>
      </w:r>
      <w:r>
        <w:rPr>
          <w:rFonts w:eastAsia="Times New Roman"/>
          <w:sz w:val="20"/>
          <w:szCs w:val="20"/>
        </w:rPr>
        <w:t>Tx-Rx beam pair prediction</w:t>
      </w:r>
      <w:r>
        <w:rPr>
          <w:rFonts w:hint="eastAsia" w:eastAsia="Times New Roman"/>
          <w:sz w:val="20"/>
          <w:szCs w:val="20"/>
        </w:rPr>
        <w:t xml:space="preserve"> and </w:t>
      </w:r>
      <w:r>
        <w:rPr>
          <w:rFonts w:eastAsia="Times New Roman"/>
          <w:sz w:val="20"/>
          <w:szCs w:val="20"/>
        </w:rPr>
        <w:t>Tx beam prediction</w:t>
      </w:r>
      <w:r>
        <w:rPr>
          <w:rFonts w:hint="eastAsia" w:eastAsia="Times New Roman"/>
          <w:sz w:val="20"/>
          <w:szCs w:val="20"/>
        </w:rPr>
        <w:t xml:space="preserve"> are considered for comparison, which apparently corresponds to the P1 initial beam selection procedure and P2 beam refinement procedure, respectively. For ease of understanding, we use a simple notation &lt;Tx Ry&gt; for </w:t>
      </w:r>
      <w:r>
        <w:rPr>
          <w:rFonts w:hint="eastAsia"/>
          <w:sz w:val="20"/>
          <w:szCs w:val="20"/>
          <w:lang w:eastAsia="zh-CN"/>
        </w:rPr>
        <w:t xml:space="preserve">AI/ML model </w:t>
      </w:r>
      <w:r>
        <w:rPr>
          <w:rFonts w:hint="eastAsia" w:eastAsia="Times New Roman"/>
          <w:sz w:val="20"/>
          <w:szCs w:val="20"/>
        </w:rPr>
        <w:t>input in the following, where</w:t>
      </w:r>
      <w:bookmarkStart w:id="1" w:name="OLE_LINK6"/>
      <w:r>
        <w:rPr>
          <w:rFonts w:hint="eastAsia" w:eastAsia="Times New Roman"/>
          <w:sz w:val="20"/>
          <w:szCs w:val="20"/>
        </w:rPr>
        <w:t xml:space="preserve"> x denotes the number of Tx beams picked out of 64 Tx beams and y denotes the number of Rx beams picked out of 8 Rx beams</w:t>
      </w:r>
      <w:bookmarkEnd w:id="1"/>
      <w:r>
        <w:rPr>
          <w:rFonts w:hint="eastAsia" w:eastAsia="Times New Roman"/>
          <w:sz w:val="20"/>
          <w:szCs w:val="20"/>
        </w:rPr>
        <w:t>. Particularly, if multiple Tx or Rx beams are used for beam measurement, we assume all measured beams are obtained by sampling the whole beam space &lt;T64 R8&gt; with a pre-determined beam pattern.</w:t>
      </w:r>
      <w:r>
        <w:rPr>
          <w:rFonts w:hint="eastAsia" w:eastAsia="宋体"/>
          <w:sz w:val="20"/>
          <w:szCs w:val="20"/>
          <w:lang w:val="en-US" w:eastAsia="zh-CN"/>
        </w:rPr>
        <w:t xml:space="preserve"> </w:t>
      </w:r>
      <w:r>
        <w:rPr>
          <w:sz w:val="20"/>
          <w:szCs w:val="20"/>
        </w:rPr>
        <w:t>The detailed parameters</w:t>
      </w:r>
      <w:r>
        <w:rPr>
          <w:rFonts w:eastAsia="Times New Roman"/>
          <w:sz w:val="20"/>
          <w:szCs w:val="20"/>
          <w:lang w:val="en-GB"/>
        </w:rPr>
        <w:t xml:space="preserve"> are captured in Table</w:t>
      </w:r>
      <w:r>
        <w:rPr>
          <w:rFonts w:hint="eastAsia"/>
          <w:sz w:val="20"/>
          <w:szCs w:val="20"/>
        </w:rPr>
        <w:t xml:space="preserve"> I</w:t>
      </w:r>
      <w:r>
        <w:rPr>
          <w:sz w:val="20"/>
          <w:szCs w:val="20"/>
        </w:rPr>
        <w:t xml:space="preserve"> </w:t>
      </w:r>
      <w:r>
        <w:rPr>
          <w:rFonts w:eastAsia="Times New Roman"/>
          <w:sz w:val="20"/>
          <w:szCs w:val="20"/>
          <w:lang w:val="en-GB"/>
        </w:rPr>
        <w:t>for spatial domain beam prediction</w:t>
      </w:r>
      <w:r>
        <w:rPr>
          <w:sz w:val="20"/>
          <w:szCs w:val="20"/>
        </w:rPr>
        <w:t xml:space="preserve"> based on the AI/ML model</w:t>
      </w:r>
      <w:r>
        <w:rPr>
          <w:rFonts w:eastAsia="Times New Roman"/>
          <w:sz w:val="20"/>
          <w:szCs w:val="20"/>
          <w:lang w:val="en-GB"/>
        </w:rPr>
        <w:t xml:space="preserve">. </w:t>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 xml:space="preserve">Table </w:t>
      </w:r>
      <w:r>
        <w:rPr>
          <w:rFonts w:hint="eastAsia"/>
          <w:sz w:val="20"/>
          <w:szCs w:val="20"/>
        </w:rPr>
        <w:t>I</w:t>
      </w:r>
      <w:r>
        <w:rPr>
          <w:rFonts w:hint="eastAsia" w:eastAsia="Times New Roman"/>
          <w:sz w:val="20"/>
          <w:szCs w:val="20"/>
          <w:lang w:val="en-GB"/>
        </w:rPr>
        <w:t>. Description of the AI</w:t>
      </w:r>
      <w:r>
        <w:rPr>
          <w:rFonts w:hint="eastAsia"/>
          <w:sz w:val="20"/>
          <w:szCs w:val="20"/>
        </w:rPr>
        <w:t>/ML</w:t>
      </w:r>
      <w:r>
        <w:rPr>
          <w:rFonts w:hint="eastAsia" w:eastAsia="Times New Roman"/>
          <w:sz w:val="20"/>
          <w:szCs w:val="20"/>
          <w:lang w:val="en-GB"/>
        </w:rPr>
        <w:t xml:space="preserve"> model for spatial domain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3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rPr>
                <w:sz w:val="20"/>
                <w:szCs w:val="20"/>
              </w:rPr>
              <w:t>M</w:t>
            </w:r>
            <w:r>
              <w:rPr>
                <w:rFonts w:eastAsia="Batang"/>
                <w:sz w:val="20"/>
                <w:szCs w:val="20"/>
                <w:lang w:eastAsia="ko-KR"/>
              </w:rPr>
              <w:t>odel architecture</w:t>
            </w:r>
          </w:p>
        </w:tc>
        <w:tc>
          <w:tcPr>
            <w:tcW w:w="3603" w:type="dxa"/>
            <w:vAlign w:val="center"/>
          </w:tcPr>
          <w:p>
            <w:pPr>
              <w:adjustRightInd w:val="0"/>
              <w:snapToGrid w:val="0"/>
              <w:spacing w:before="72" w:beforeLines="30" w:after="72" w:afterLines="30" w:line="288" w:lineRule="auto"/>
              <w:jc w:val="center"/>
              <w:rPr>
                <w:sz w:val="20"/>
                <w:szCs w:val="20"/>
              </w:rPr>
            </w:pPr>
            <w:r>
              <w:rPr>
                <w:sz w:val="20"/>
                <w:szCs w:val="20"/>
              </w:rPr>
              <w:t>Full</w:t>
            </w:r>
            <w:r>
              <w:rPr>
                <w:rFonts w:hint="eastAsia"/>
                <w:sz w:val="20"/>
                <w:szCs w:val="20"/>
              </w:rPr>
              <w:t>y</w:t>
            </w:r>
            <w:r>
              <w:rPr>
                <w:sz w:val="20"/>
                <w:szCs w:val="20"/>
              </w:rPr>
              <w:t xml:space="preserve"> connected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rPr>
                <w:sz w:val="20"/>
                <w:szCs w:val="20"/>
              </w:rPr>
              <w:t>Number of layers</w:t>
            </w:r>
          </w:p>
        </w:tc>
        <w:tc>
          <w:tcPr>
            <w:tcW w:w="3603" w:type="dxa"/>
            <w:vAlign w:val="center"/>
          </w:tcPr>
          <w:p>
            <w:pPr>
              <w:adjustRightInd w:val="0"/>
              <w:snapToGrid w:val="0"/>
              <w:spacing w:before="72" w:beforeLines="30" w:after="72" w:afterLines="30" w:line="288" w:lineRule="auto"/>
              <w:jc w:val="center"/>
              <w:rPr>
                <w:sz w:val="20"/>
                <w:szCs w:val="20"/>
              </w:rPr>
            </w:pPr>
            <w:r>
              <w:rPr>
                <w:rFonts w:hint="eastAsia"/>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rPr>
                <w:sz w:val="20"/>
                <w:szCs w:val="20"/>
              </w:rPr>
              <w:t>Model input</w:t>
            </w:r>
          </w:p>
        </w:tc>
        <w:tc>
          <w:tcPr>
            <w:tcW w:w="3603" w:type="dxa"/>
            <w:vAlign w:val="center"/>
          </w:tcPr>
          <w:p>
            <w:pPr>
              <w:adjustRightInd w:val="0"/>
              <w:snapToGrid w:val="0"/>
              <w:spacing w:before="72" w:beforeLines="30" w:after="72" w:afterLines="30" w:line="288" w:lineRule="auto"/>
              <w:jc w:val="center"/>
              <w:rPr>
                <w:sz w:val="20"/>
                <w:szCs w:val="20"/>
              </w:rPr>
            </w:pPr>
            <w:r>
              <w:rPr>
                <w:sz w:val="20"/>
                <w:szCs w:val="20"/>
              </w:rPr>
              <w:t>Measured RSRPs of partial beam</w:t>
            </w:r>
            <w:r>
              <w:rPr>
                <w:rFonts w:hint="eastAsia"/>
                <w:sz w:val="20"/>
                <w:szCs w:val="20"/>
              </w:rPr>
              <w:t>s/beam pairs</w:t>
            </w:r>
            <w:r>
              <w:rPr>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rPr>
                <w:sz w:val="20"/>
                <w:szCs w:val="20"/>
              </w:rPr>
              <w:t>Model output</w:t>
            </w:r>
          </w:p>
        </w:tc>
        <w:tc>
          <w:tcPr>
            <w:tcW w:w="3603" w:type="dxa"/>
            <w:vAlign w:val="center"/>
          </w:tcPr>
          <w:p>
            <w:pPr>
              <w:adjustRightInd w:val="0"/>
              <w:snapToGrid w:val="0"/>
              <w:spacing w:before="72" w:beforeLines="30" w:after="72" w:afterLines="30" w:line="288" w:lineRule="auto"/>
              <w:jc w:val="center"/>
              <w:rPr>
                <w:sz w:val="20"/>
                <w:szCs w:val="20"/>
              </w:rPr>
            </w:pPr>
            <w:r>
              <w:rPr>
                <w:sz w:val="20"/>
                <w:szCs w:val="20"/>
              </w:rPr>
              <w:t>Predicted RSRPs of all beam</w:t>
            </w:r>
            <w:r>
              <w:rPr>
                <w:rFonts w:hint="eastAsia"/>
                <w:sz w:val="20"/>
                <w:szCs w:val="20"/>
              </w:rPr>
              <w:t xml:space="preserve">s/beam </w:t>
            </w:r>
            <w:r>
              <w:rPr>
                <w:sz w:val="20"/>
                <w:szCs w:val="20"/>
              </w:rPr>
              <w:t>pairs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rPr>
                <w:sz w:val="20"/>
                <w:szCs w:val="20"/>
              </w:rPr>
              <w:t>Dataset size</w:t>
            </w:r>
          </w:p>
        </w:tc>
        <w:tc>
          <w:tcPr>
            <w:tcW w:w="3603" w:type="dxa"/>
            <w:vAlign w:val="center"/>
          </w:tcPr>
          <w:p>
            <w:pPr>
              <w:adjustRightInd w:val="0"/>
              <w:snapToGrid w:val="0"/>
              <w:spacing w:before="72" w:beforeLines="30" w:after="72" w:afterLines="30" w:line="288" w:lineRule="auto"/>
              <w:jc w:val="center"/>
              <w:rPr>
                <w:sz w:val="20"/>
                <w:szCs w:val="20"/>
              </w:rPr>
            </w:pPr>
            <w:r>
              <w:rPr>
                <w:rFonts w:hint="eastAsia"/>
                <w:sz w:val="20"/>
                <w:szCs w:val="20"/>
              </w:rPr>
              <w:t>100</w:t>
            </w:r>
            <w:r>
              <w:rPr>
                <w:sz w:val="20"/>
                <w:szCs w:val="20"/>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fldChar w:fldCharType="begin"/>
            </w:r>
            <w:r>
              <w:instrText xml:space="preserve"> HYPERLINK "C:/Users/10068540/AppData/Local/Youdao/Dict/Application/5.4.43.3217/resultui/app:ds:percentage" \t "C:/Users/10068540/AppData/Local/Youdao/Dict/Application/5.4.43.3217/resultui/_self" </w:instrText>
            </w:r>
            <w:r>
              <w:fldChar w:fldCharType="separate"/>
            </w:r>
            <w:r>
              <w:rPr>
                <w:sz w:val="20"/>
                <w:szCs w:val="20"/>
              </w:rPr>
              <w:t>Percentage</w:t>
            </w:r>
            <w:r>
              <w:rPr>
                <w:sz w:val="20"/>
                <w:szCs w:val="20"/>
              </w:rPr>
              <w:fldChar w:fldCharType="end"/>
            </w:r>
            <w:r>
              <w:rPr>
                <w:sz w:val="20"/>
                <w:szCs w:val="20"/>
              </w:rPr>
              <w:t xml:space="preserve"> </w:t>
            </w:r>
            <w:r>
              <w:rPr>
                <w:sz w:val="20"/>
                <w:szCs w:val="20"/>
                <w:lang w:eastAsia="en-US"/>
              </w:rPr>
              <w:t xml:space="preserve">of </w:t>
            </w:r>
            <w:r>
              <w:rPr>
                <w:rFonts w:eastAsia="Batang"/>
                <w:sz w:val="20"/>
                <w:szCs w:val="20"/>
                <w:lang w:eastAsia="en-US"/>
              </w:rPr>
              <w:t>training/ validity/test samples</w:t>
            </w:r>
          </w:p>
        </w:tc>
        <w:tc>
          <w:tcPr>
            <w:tcW w:w="3603" w:type="dxa"/>
            <w:vAlign w:val="center"/>
          </w:tcPr>
          <w:p>
            <w:pPr>
              <w:adjustRightInd w:val="0"/>
              <w:snapToGrid w:val="0"/>
              <w:spacing w:before="72" w:beforeLines="30" w:after="72" w:afterLines="30" w:line="288" w:lineRule="auto"/>
              <w:jc w:val="center"/>
              <w:rPr>
                <w:sz w:val="20"/>
                <w:szCs w:val="20"/>
              </w:rPr>
            </w:pPr>
            <w:r>
              <w:rPr>
                <w:rFonts w:hint="eastAsia"/>
                <w:sz w:val="20"/>
                <w:szCs w:val="20"/>
              </w:rPr>
              <w:t>9</w:t>
            </w:r>
            <w:r>
              <w:rPr>
                <w:sz w:val="20"/>
                <w:szCs w:val="20"/>
              </w:rPr>
              <w:t xml:space="preserve">0%, </w:t>
            </w:r>
            <w:r>
              <w:rPr>
                <w:rFonts w:hint="eastAsia"/>
                <w:sz w:val="20"/>
                <w:szCs w:val="20"/>
              </w:rPr>
              <w:t>5</w:t>
            </w:r>
            <w:r>
              <w:rPr>
                <w:sz w:val="20"/>
                <w:szCs w:val="20"/>
              </w:rPr>
              <w:t xml:space="preserve">%, </w:t>
            </w:r>
            <w:r>
              <w:rPr>
                <w:rFonts w:hint="eastAsia"/>
                <w:sz w:val="20"/>
                <w:szCs w:val="20"/>
              </w:rPr>
              <w:t>5</w:t>
            </w:r>
            <w:r>
              <w:rPr>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rPr>
                <w:sz w:val="20"/>
                <w:szCs w:val="20"/>
              </w:rPr>
              <w:t>Model input size</w:t>
            </w:r>
          </w:p>
        </w:tc>
        <w:tc>
          <w:tcPr>
            <w:tcW w:w="3603" w:type="dxa"/>
            <w:vAlign w:val="center"/>
          </w:tcPr>
          <w:p>
            <w:pPr>
              <w:adjustRightInd w:val="0"/>
              <w:snapToGrid w:val="0"/>
              <w:spacing w:before="72" w:beforeLines="30" w:after="72" w:afterLines="30" w:line="288" w:lineRule="auto"/>
              <w:jc w:val="center"/>
              <w:rPr>
                <w:sz w:val="20"/>
                <w:szCs w:val="20"/>
              </w:rPr>
            </w:pPr>
            <w:r>
              <w:rPr>
                <w:rFonts w:hint="eastAsia"/>
                <w:sz w:val="20"/>
                <w:szCs w:val="20"/>
              </w:rPr>
              <w:t xml:space="preserve">Tx-Rx beam pair prediction: </w:t>
            </w:r>
            <w:r>
              <w:rPr>
                <w:sz w:val="20"/>
                <w:szCs w:val="20"/>
              </w:rPr>
              <w:t>64×8</w:t>
            </w:r>
          </w:p>
          <w:p>
            <w:pPr>
              <w:adjustRightInd w:val="0"/>
              <w:snapToGrid w:val="0"/>
              <w:spacing w:before="72" w:beforeLines="30" w:after="72" w:afterLines="30" w:line="288" w:lineRule="auto"/>
              <w:jc w:val="center"/>
              <w:rPr>
                <w:sz w:val="20"/>
                <w:szCs w:val="20"/>
              </w:rPr>
            </w:pPr>
            <w:r>
              <w:rPr>
                <w:rFonts w:hint="eastAsia"/>
                <w:sz w:val="20"/>
                <w:szCs w:val="20"/>
              </w:rPr>
              <w:t xml:space="preserve">DL Tx beam prediction: </w:t>
            </w:r>
            <w:r>
              <w:rPr>
                <w:sz w:val="20"/>
                <w:szCs w:val="20"/>
              </w:rPr>
              <w:t>64×</w:t>
            </w: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rPr>
                <w:sz w:val="20"/>
                <w:szCs w:val="20"/>
              </w:rPr>
              <w:t>Model output size</w:t>
            </w:r>
          </w:p>
        </w:tc>
        <w:tc>
          <w:tcPr>
            <w:tcW w:w="3603" w:type="dxa"/>
            <w:vAlign w:val="center"/>
          </w:tcPr>
          <w:p>
            <w:pPr>
              <w:adjustRightInd w:val="0"/>
              <w:snapToGrid w:val="0"/>
              <w:spacing w:before="72" w:beforeLines="30" w:after="72" w:afterLines="30" w:line="288" w:lineRule="auto"/>
              <w:jc w:val="center"/>
              <w:rPr>
                <w:sz w:val="20"/>
                <w:szCs w:val="20"/>
              </w:rPr>
            </w:pPr>
            <w:r>
              <w:rPr>
                <w:rFonts w:hint="eastAsia"/>
                <w:sz w:val="20"/>
                <w:szCs w:val="20"/>
              </w:rPr>
              <w:t xml:space="preserve">Tx-Rx beam pair prediction: </w:t>
            </w:r>
            <w:r>
              <w:rPr>
                <w:sz w:val="20"/>
                <w:szCs w:val="20"/>
              </w:rPr>
              <w:t>64×8</w:t>
            </w:r>
          </w:p>
          <w:p>
            <w:pPr>
              <w:adjustRightInd w:val="0"/>
              <w:snapToGrid w:val="0"/>
              <w:spacing w:before="72" w:beforeLines="30" w:after="72" w:afterLines="30" w:line="288" w:lineRule="auto"/>
              <w:jc w:val="center"/>
              <w:rPr>
                <w:sz w:val="20"/>
                <w:szCs w:val="20"/>
              </w:rPr>
            </w:pPr>
            <w:r>
              <w:rPr>
                <w:rFonts w:hint="eastAsia"/>
                <w:sz w:val="20"/>
                <w:szCs w:val="20"/>
              </w:rPr>
              <w:t xml:space="preserve">DL Tx beam prediction: </w:t>
            </w:r>
            <w:r>
              <w:rPr>
                <w:sz w:val="20"/>
                <w:szCs w:val="20"/>
              </w:rPr>
              <w:t>64×</w:t>
            </w: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8" w:type="dxa"/>
            <w:vAlign w:val="center"/>
          </w:tcPr>
          <w:p>
            <w:pPr>
              <w:adjustRightInd w:val="0"/>
              <w:snapToGrid w:val="0"/>
              <w:spacing w:before="72" w:beforeLines="30" w:after="72" w:afterLines="30" w:line="288" w:lineRule="auto"/>
              <w:jc w:val="center"/>
              <w:rPr>
                <w:sz w:val="20"/>
                <w:szCs w:val="20"/>
              </w:rPr>
            </w:pPr>
            <w:r>
              <w:rPr>
                <w:sz w:val="20"/>
                <w:szCs w:val="20"/>
              </w:rPr>
              <w:t>Model size</w:t>
            </w:r>
          </w:p>
        </w:tc>
        <w:tc>
          <w:tcPr>
            <w:tcW w:w="3603" w:type="dxa"/>
            <w:vAlign w:val="center"/>
          </w:tcPr>
          <w:p>
            <w:pPr>
              <w:adjustRightInd w:val="0"/>
              <w:snapToGrid w:val="0"/>
              <w:spacing w:before="72" w:beforeLines="30" w:after="72" w:afterLines="30" w:line="288" w:lineRule="auto"/>
              <w:jc w:val="center"/>
              <w:rPr>
                <w:sz w:val="20"/>
                <w:szCs w:val="20"/>
              </w:rPr>
            </w:pPr>
            <w:r>
              <w:rPr>
                <w:rFonts w:hint="eastAsia"/>
                <w:sz w:val="20"/>
                <w:szCs w:val="20"/>
              </w:rPr>
              <w:t>Tx-Rx beam pair prediction: 2.888M</w:t>
            </w:r>
          </w:p>
          <w:p>
            <w:pPr>
              <w:adjustRightInd w:val="0"/>
              <w:snapToGrid w:val="0"/>
              <w:spacing w:before="72" w:beforeLines="30" w:after="72" w:afterLines="30" w:line="288" w:lineRule="auto"/>
              <w:jc w:val="center"/>
              <w:rPr>
                <w:sz w:val="20"/>
                <w:szCs w:val="20"/>
              </w:rPr>
            </w:pPr>
            <w:r>
              <w:rPr>
                <w:rFonts w:hint="eastAsia"/>
                <w:sz w:val="20"/>
                <w:szCs w:val="20"/>
              </w:rPr>
              <w:t>DL Tx beam prediction: 0.0456M</w:t>
            </w:r>
          </w:p>
        </w:tc>
      </w:tr>
    </w:tbl>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Performance KPIs:</w:t>
      </w:r>
    </w:p>
    <w:p>
      <w:pPr>
        <w:snapToGrid w:val="0"/>
        <w:spacing w:before="72" w:beforeLines="30" w:after="72" w:afterLines="30" w:line="288" w:lineRule="auto"/>
        <w:jc w:val="both"/>
        <w:rPr>
          <w:sz w:val="20"/>
          <w:szCs w:val="20"/>
        </w:rPr>
      </w:pPr>
      <w:r>
        <w:rPr>
          <w:rFonts w:hint="eastAsia" w:eastAsia="Times New Roman"/>
          <w:sz w:val="20"/>
          <w:szCs w:val="20"/>
          <w:lang w:val="en-GB"/>
        </w:rPr>
        <w:t>To evaluate the performance of AI/ML in spatial domain beam prediction, we provide our preliminary simulation results</w:t>
      </w:r>
      <w:r>
        <w:rPr>
          <w:rFonts w:hint="eastAsia"/>
          <w:sz w:val="20"/>
          <w:szCs w:val="20"/>
        </w:rPr>
        <w:t xml:space="preserve"> </w:t>
      </w:r>
      <w:r>
        <w:rPr>
          <w:rFonts w:hint="eastAsia"/>
          <w:sz w:val="20"/>
          <w:szCs w:val="20"/>
          <w:lang w:val="en-US" w:eastAsia="zh-CN"/>
        </w:rPr>
        <w:t xml:space="preserve">by </w:t>
      </w:r>
      <w:r>
        <w:rPr>
          <w:rFonts w:hint="eastAsia" w:eastAsia="Times New Roman"/>
          <w:sz w:val="20"/>
          <w:szCs w:val="20"/>
          <w:lang w:val="en-GB"/>
        </w:rPr>
        <w:t>KPIs</w:t>
      </w:r>
      <w:r>
        <w:rPr>
          <w:rFonts w:hint="eastAsia" w:eastAsia="Times New Roman"/>
          <w:sz w:val="20"/>
          <w:szCs w:val="20"/>
        </w:rPr>
        <w:t xml:space="preserve"> related to beam predicting accuracy</w:t>
      </w:r>
      <w:r>
        <w:rPr>
          <w:rFonts w:hint="eastAsia" w:eastAsia="Times New Roman"/>
          <w:sz w:val="20"/>
          <w:szCs w:val="20"/>
          <w:lang w:val="en-GB"/>
        </w:rPr>
        <w:t>, which include average L1-RSRP difference of Top-1 predicted beam, beam prediction accuracy with 1dB margin for Top-1 beam</w:t>
      </w:r>
      <w:r>
        <w:rPr>
          <w:rFonts w:hint="eastAsia"/>
          <w:sz w:val="20"/>
          <w:szCs w:val="20"/>
        </w:rPr>
        <w:t xml:space="preserve">, </w:t>
      </w:r>
      <w:r>
        <w:rPr>
          <w:rFonts w:hint="eastAsia" w:eastAsia="Times New Roman"/>
          <w:sz w:val="20"/>
          <w:szCs w:val="20"/>
          <w:lang w:val="en-GB"/>
        </w:rPr>
        <w:t xml:space="preserve">beam prediction accuracy for Top-1 </w:t>
      </w:r>
      <w:r>
        <w:rPr>
          <w:rFonts w:hint="eastAsia"/>
          <w:sz w:val="20"/>
          <w:szCs w:val="20"/>
        </w:rPr>
        <w:t>/</w:t>
      </w:r>
      <w:r>
        <w:rPr>
          <w:rFonts w:hint="eastAsia" w:eastAsia="Times New Roman"/>
          <w:sz w:val="20"/>
          <w:szCs w:val="20"/>
          <w:lang w:val="en-GB"/>
        </w:rPr>
        <w:t xml:space="preserve">Top-K beams, </w:t>
      </w:r>
      <w:r>
        <w:rPr>
          <w:rFonts w:hint="eastAsia"/>
          <w:sz w:val="20"/>
          <w:szCs w:val="20"/>
        </w:rPr>
        <w:t xml:space="preserve">and </w:t>
      </w:r>
      <w:r>
        <w:rPr>
          <w:rFonts w:hint="eastAsia" w:eastAsia="Times New Roman"/>
          <w:sz w:val="20"/>
          <w:szCs w:val="20"/>
          <w:lang w:val="en-GB"/>
        </w:rPr>
        <w:t>predicted L1-RSRP</w:t>
      </w:r>
      <w:r>
        <w:rPr>
          <w:rFonts w:hint="eastAsia"/>
          <w:sz w:val="20"/>
          <w:szCs w:val="20"/>
        </w:rPr>
        <w:t xml:space="preserve"> difference</w:t>
      </w:r>
      <w:r>
        <w:rPr>
          <w:rFonts w:hint="eastAsia" w:eastAsia="Times New Roman"/>
          <w:sz w:val="20"/>
          <w:szCs w:val="20"/>
          <w:lang w:val="en-GB"/>
        </w:rPr>
        <w:t>. Particularly, the Top-1 genie-aided Tx beam is the Tx beam that results in the largest L1-RSRP over all Tx and Rx beams</w:t>
      </w:r>
      <w:r>
        <w:rPr>
          <w:rFonts w:hint="eastAsia"/>
          <w:sz w:val="20"/>
          <w:szCs w:val="20"/>
        </w:rPr>
        <w:t xml:space="preserve"> (</w:t>
      </w:r>
      <w:r>
        <w:rPr>
          <w:rFonts w:eastAsia="Batang"/>
          <w:bCs/>
          <w:sz w:val="20"/>
          <w:szCs w:val="20"/>
          <w:lang w:val="en-GB" w:eastAsia="ko-KR"/>
        </w:rPr>
        <w:t>unless otherwise mentioned</w:t>
      </w:r>
      <w:r>
        <w:rPr>
          <w:rFonts w:hint="eastAsia"/>
          <w:sz w:val="20"/>
          <w:szCs w:val="20"/>
        </w:rPr>
        <w:t>). T</w:t>
      </w:r>
      <w:r>
        <w:rPr>
          <w:rFonts w:hint="eastAsia" w:eastAsia="Times New Roman"/>
          <w:sz w:val="20"/>
          <w:szCs w:val="20"/>
          <w:lang w:val="en-GB"/>
        </w:rPr>
        <w:t>he predicted L1-RSRP difference is L1-RSRP difference between the predicted L1-RSRP of Top-1 predicted beam and the ideal L1-RSRP of Top-1 predicted beam</w:t>
      </w:r>
      <w:r>
        <w:rPr>
          <w:rFonts w:hint="eastAsia"/>
          <w:sz w:val="20"/>
          <w:szCs w:val="20"/>
        </w:rPr>
        <w:t>. T</w:t>
      </w:r>
      <w:r>
        <w:rPr>
          <w:rFonts w:hint="eastAsia" w:eastAsia="Times New Roman"/>
          <w:sz w:val="20"/>
          <w:szCs w:val="20"/>
          <w:lang w:val="en-GB"/>
        </w:rPr>
        <w:t>he beam prediction accuracy (%) for Top-K beams is defined as the percentage that the Top-1 genie-aided beam is one of the Top-K predicted beams.</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Rx beam assumption for beam pair prediction</w:t>
      </w:r>
    </w:p>
    <w:p>
      <w:pPr>
        <w:snapToGrid w:val="0"/>
        <w:spacing w:before="72" w:beforeLines="30" w:after="72" w:afterLines="30" w:line="288" w:lineRule="auto"/>
        <w:jc w:val="both"/>
        <w:rPr>
          <w:sz w:val="20"/>
          <w:szCs w:val="20"/>
        </w:rPr>
      </w:pPr>
      <w:r>
        <w:rPr>
          <w:rFonts w:hint="eastAsia" w:eastAsia="Times New Roman"/>
          <w:sz w:val="20"/>
          <w:szCs w:val="20"/>
        </w:rPr>
        <w:t xml:space="preserve">In this section, </w:t>
      </w:r>
      <w:r>
        <w:rPr>
          <w:rFonts w:hint="eastAsia"/>
          <w:sz w:val="20"/>
          <w:szCs w:val="20"/>
        </w:rPr>
        <w:t xml:space="preserve">the </w:t>
      </w:r>
      <w:r>
        <w:rPr>
          <w:rFonts w:eastAsia="Times New Roman"/>
          <w:sz w:val="20"/>
          <w:szCs w:val="20"/>
        </w:rPr>
        <w:t>Tx-Rx beam pair prediction</w:t>
      </w:r>
      <w:r>
        <w:rPr>
          <w:rFonts w:hint="eastAsia"/>
          <w:sz w:val="20"/>
          <w:szCs w:val="20"/>
        </w:rPr>
        <w:t xml:space="preserve"> is</w:t>
      </w:r>
      <w:r>
        <w:rPr>
          <w:rFonts w:hint="eastAsia" w:eastAsia="Times New Roman"/>
          <w:sz w:val="20"/>
          <w:szCs w:val="20"/>
          <w:lang w:val="en-GB"/>
        </w:rPr>
        <w:t xml:space="preserve"> </w:t>
      </w:r>
      <w:r>
        <w:rPr>
          <w:rFonts w:hint="eastAsia"/>
          <w:sz w:val="20"/>
          <w:szCs w:val="20"/>
        </w:rPr>
        <w:t>evaluated</w:t>
      </w:r>
      <w:r>
        <w:rPr>
          <w:rFonts w:hint="eastAsia" w:eastAsia="Times New Roman"/>
          <w:sz w:val="20"/>
          <w:szCs w:val="20"/>
        </w:rPr>
        <w:t xml:space="preserve"> in term of performance KPIs mentioned above. T</w:t>
      </w:r>
      <w:r>
        <w:rPr>
          <w:rFonts w:hint="eastAsia" w:eastAsia="Times New Roman"/>
          <w:sz w:val="20"/>
          <w:szCs w:val="20"/>
          <w:lang w:val="en-GB"/>
        </w:rPr>
        <w:t xml:space="preserve">he sampling rate on the </w:t>
      </w:r>
      <w:r>
        <w:rPr>
          <w:rFonts w:hint="eastAsia" w:eastAsia="Times New Roman"/>
          <w:sz w:val="20"/>
          <w:szCs w:val="20"/>
        </w:rPr>
        <w:t xml:space="preserve">whole </w:t>
      </w:r>
      <w:r>
        <w:rPr>
          <w:rFonts w:hint="eastAsia" w:eastAsia="Times New Roman"/>
          <w:sz w:val="20"/>
          <w:szCs w:val="20"/>
          <w:lang w:val="en-GB"/>
        </w:rPr>
        <w:t>beam space</w:t>
      </w:r>
      <w:r>
        <w:rPr>
          <w:rFonts w:hint="eastAsia"/>
          <w:sz w:val="20"/>
          <w:szCs w:val="20"/>
        </w:rPr>
        <w:t xml:space="preserve"> </w:t>
      </w:r>
      <w:r>
        <w:rPr>
          <w:rFonts w:hint="eastAsia" w:eastAsia="Times New Roman"/>
          <w:sz w:val="20"/>
          <w:szCs w:val="20"/>
          <w:lang w:val="en-GB"/>
        </w:rPr>
        <w:t xml:space="preserve">is </w:t>
      </w:r>
      <w:r>
        <w:rPr>
          <w:rFonts w:hint="eastAsia" w:eastAsia="Times New Roman"/>
          <w:sz w:val="20"/>
          <w:szCs w:val="20"/>
        </w:rPr>
        <w:t xml:space="preserve">fixed to be </w:t>
      </w:r>
      <w:r>
        <w:rPr>
          <w:rFonts w:hint="eastAsia" w:eastAsia="Times New Roman"/>
          <w:sz w:val="20"/>
          <w:szCs w:val="20"/>
          <w:lang w:val="en-GB"/>
        </w:rPr>
        <w:t>25%</w:t>
      </w:r>
      <w:r>
        <w:rPr>
          <w:rFonts w:hint="eastAsia" w:eastAsia="Times New Roman"/>
          <w:sz w:val="20"/>
          <w:szCs w:val="20"/>
        </w:rPr>
        <w:t xml:space="preserve">, which means that </w:t>
      </w:r>
      <w:r>
        <w:rPr>
          <w:rFonts w:hint="eastAsia" w:eastAsia="Times New Roman"/>
          <w:sz w:val="20"/>
          <w:szCs w:val="20"/>
          <w:lang w:val="en-GB"/>
        </w:rPr>
        <w:t>the associated RS overhead reduction would be 75%.</w:t>
      </w:r>
      <w:r>
        <w:rPr>
          <w:rFonts w:hint="eastAsia" w:eastAsia="Times New Roman"/>
          <w:sz w:val="20"/>
          <w:szCs w:val="20"/>
        </w:rPr>
        <w:t xml:space="preserve"> Besides, corresponding non-AI cases are also simulated as baseline performance, where the optimal beam is obtained by measuring the uniformly sampled partial beams and directly choosing the one with the largest measured RSRP. For the </w:t>
      </w:r>
      <w:r>
        <w:rPr>
          <w:rFonts w:hint="eastAsia"/>
          <w:sz w:val="20"/>
          <w:szCs w:val="20"/>
        </w:rPr>
        <w:t>Rx beam assumption</w:t>
      </w:r>
      <w:r>
        <w:rPr>
          <w:rFonts w:hint="eastAsia" w:eastAsia="Times New Roman"/>
          <w:sz w:val="20"/>
          <w:szCs w:val="20"/>
        </w:rPr>
        <w:t xml:space="preserve"> of beam pair prediction, </w:t>
      </w:r>
      <w:r>
        <w:rPr>
          <w:rFonts w:hint="eastAsia"/>
          <w:sz w:val="20"/>
          <w:szCs w:val="20"/>
        </w:rPr>
        <w:t>both the Tx down sampling and/or Rx down sampling are</w:t>
      </w:r>
      <w:r>
        <w:rPr>
          <w:rFonts w:hint="eastAsia" w:eastAsia="Times New Roman"/>
          <w:sz w:val="20"/>
          <w:szCs w:val="20"/>
        </w:rPr>
        <w:t xml:space="preserve"> considered as follows.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Case 1-1-1</w:t>
      </w:r>
      <w:r>
        <w:rPr>
          <w:rFonts w:hint="eastAsia"/>
          <w:b/>
          <w:bCs/>
          <w:sz w:val="20"/>
          <w:szCs w:val="20"/>
        </w:rPr>
        <w:t xml:space="preserve"> (down sampling in both Tx and Rx beams)</w:t>
      </w:r>
      <w:r>
        <w:rPr>
          <w:rFonts w:hint="eastAsia" w:eastAsia="Times New Roman"/>
          <w:b/>
          <w:bCs/>
          <w:sz w:val="20"/>
          <w:szCs w:val="20"/>
        </w:rPr>
        <w:t xml:space="preserve">: </w:t>
      </w:r>
      <w:r>
        <w:rPr>
          <w:rFonts w:hint="eastAsia" w:eastAsia="Times New Roman"/>
          <w:sz w:val="20"/>
          <w:szCs w:val="20"/>
        </w:rPr>
        <w:t xml:space="preserve">In the &lt;T32 R4&gt; case for </w:t>
      </w:r>
      <w:r>
        <w:rPr>
          <w:rFonts w:eastAsia="Times New Roman"/>
          <w:sz w:val="20"/>
          <w:szCs w:val="20"/>
        </w:rPr>
        <w:t>Tx-Rx beam pair prediction</w:t>
      </w:r>
      <w:r>
        <w:rPr>
          <w:rFonts w:hint="eastAsia" w:eastAsia="Times New Roman"/>
          <w:sz w:val="20"/>
          <w:szCs w:val="20"/>
        </w:rPr>
        <w:t xml:space="preserve">, </w:t>
      </w:r>
      <w:r>
        <w:rPr>
          <w:rFonts w:hint="eastAsia"/>
          <w:sz w:val="20"/>
          <w:szCs w:val="20"/>
        </w:rPr>
        <w:t>32</w:t>
      </w:r>
      <w:r>
        <w:rPr>
          <w:rFonts w:hint="eastAsia" w:eastAsia="Times New Roman"/>
          <w:sz w:val="20"/>
          <w:szCs w:val="20"/>
          <w:lang w:val="en-GB"/>
        </w:rPr>
        <w:t xml:space="preserve"> 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t>
      </w:r>
      <w:r>
        <w:rPr>
          <w:rFonts w:hint="eastAsia" w:eastAsia="Times New Roman"/>
          <w:sz w:val="20"/>
          <w:szCs w:val="20"/>
          <w:lang w:val="en-GB"/>
        </w:rPr>
        <w:t xml:space="preserve">are transmitted by the gNB and measured by </w:t>
      </w:r>
      <w:r>
        <w:rPr>
          <w:rFonts w:hint="eastAsia"/>
          <w:sz w:val="20"/>
          <w:szCs w:val="20"/>
        </w:rPr>
        <w:t>4</w:t>
      </w:r>
      <w:r>
        <w:rPr>
          <w:rFonts w:hint="eastAsia" w:eastAsia="Times New Roman"/>
          <w:sz w:val="20"/>
          <w:szCs w:val="20"/>
          <w:lang w:val="en-GB"/>
        </w:rPr>
        <w:t xml:space="preserve"> </w:t>
      </w:r>
      <w:r>
        <w:rPr>
          <w:rFonts w:hint="eastAsia"/>
          <w:sz w:val="20"/>
          <w:szCs w:val="20"/>
        </w:rPr>
        <w:t>Rx</w:t>
      </w:r>
      <w:r>
        <w:rPr>
          <w:rFonts w:hint="eastAsia" w:eastAsia="Times New Roman"/>
          <w:sz w:val="20"/>
          <w:szCs w:val="20"/>
          <w:lang w:val="en-GB"/>
        </w:rPr>
        <w:t xml:space="preserve"> beams picked out of </w:t>
      </w:r>
      <w:r>
        <w:rPr>
          <w:rFonts w:hint="eastAsia"/>
          <w:sz w:val="20"/>
          <w:szCs w:val="20"/>
        </w:rPr>
        <w:t>8 R</w:t>
      </w:r>
      <w:r>
        <w:rPr>
          <w:rFonts w:hint="eastAsia" w:eastAsia="Times New Roman"/>
          <w:sz w:val="20"/>
          <w:szCs w:val="20"/>
          <w:lang w:val="en-GB"/>
        </w:rPr>
        <w:t>x beams</w:t>
      </w:r>
      <w:r>
        <w:rPr>
          <w:rFonts w:hint="eastAsia"/>
          <w:sz w:val="20"/>
          <w:szCs w:val="20"/>
        </w:rPr>
        <w:t xml:space="preserve"> by uniform sampling </w:t>
      </w:r>
      <w:r>
        <w:rPr>
          <w:rFonts w:hint="eastAsia" w:eastAsia="Times New Roman"/>
          <w:sz w:val="20"/>
          <w:szCs w:val="20"/>
          <w:lang w:val="en-GB"/>
        </w:rPr>
        <w:t>in the UE.</w:t>
      </w:r>
      <w:r>
        <w:rPr>
          <w:rFonts w:hint="eastAsia"/>
          <w:sz w:val="20"/>
          <w:szCs w:val="20"/>
        </w:rPr>
        <w:t xml:space="preserve"> </w:t>
      </w:r>
      <w:r>
        <w:rPr>
          <w:rFonts w:hint="eastAsia" w:eastAsia="Times New Roman"/>
          <w:sz w:val="20"/>
          <w:szCs w:val="20"/>
        </w:rPr>
        <w:t xml:space="preserve">In this case, </w:t>
      </w:r>
      <w:r>
        <w:rPr>
          <w:rFonts w:hint="eastAsia" w:eastAsia="Times New Roman"/>
          <w:sz w:val="20"/>
          <w:szCs w:val="20"/>
          <w:lang w:val="en-GB"/>
        </w:rPr>
        <w:t>RSRPs</w:t>
      </w:r>
      <w:r>
        <w:rPr>
          <w:rFonts w:hint="eastAsia" w:eastAsia="Times New Roman"/>
          <w:sz w:val="20"/>
          <w:szCs w:val="20"/>
        </w:rPr>
        <w:t xml:space="preserve"> of selected beam pairs (32x4=128 beam pairs) are used as </w:t>
      </w:r>
      <w:r>
        <w:rPr>
          <w:rFonts w:hint="eastAsia"/>
          <w:sz w:val="20"/>
          <w:szCs w:val="20"/>
          <w:lang w:eastAsia="zh-CN"/>
        </w:rPr>
        <w:t>AI/ML</w:t>
      </w:r>
      <w:r>
        <w:rPr>
          <w:rFonts w:hint="eastAsia"/>
          <w:sz w:val="20"/>
          <w:szCs w:val="20"/>
          <w:lang w:val="en-US" w:eastAsia="zh-CN"/>
        </w:rPr>
        <w:t xml:space="preserve"> </w:t>
      </w:r>
      <w:r>
        <w:rPr>
          <w:rFonts w:hint="eastAsia"/>
          <w:sz w:val="20"/>
          <w:szCs w:val="20"/>
          <w:lang w:eastAsia="zh-CN"/>
        </w:rPr>
        <w:t xml:space="preserve">model </w:t>
      </w:r>
      <w:r>
        <w:rPr>
          <w:rFonts w:hint="eastAsia" w:eastAsia="Times New Roman"/>
          <w:sz w:val="20"/>
          <w:szCs w:val="20"/>
        </w:rPr>
        <w:t xml:space="preserve">inputs </w:t>
      </w:r>
      <w:r>
        <w:rPr>
          <w:rFonts w:hint="eastAsia" w:eastAsia="Times New Roman"/>
          <w:sz w:val="20"/>
          <w:szCs w:val="20"/>
          <w:lang w:val="en-GB"/>
        </w:rPr>
        <w:t>and predicted RSRPs of all beam pairs</w:t>
      </w:r>
      <w:r>
        <w:rPr>
          <w:rFonts w:hint="eastAsia" w:eastAsia="Times New Roman"/>
          <w:sz w:val="20"/>
          <w:szCs w:val="20"/>
        </w:rPr>
        <w:t xml:space="preserve"> (64x8=512 beam pairs)</w:t>
      </w:r>
      <w:r>
        <w:rPr>
          <w:rFonts w:hint="eastAsia" w:eastAsia="Times New Roman"/>
          <w:sz w:val="20"/>
          <w:szCs w:val="20"/>
          <w:lang w:val="en-GB"/>
        </w:rPr>
        <w:t xml:space="preserve"> </w:t>
      </w:r>
      <w:r>
        <w:rPr>
          <w:rFonts w:hint="eastAsia" w:eastAsia="Times New Roman"/>
          <w:sz w:val="20"/>
          <w:szCs w:val="20"/>
        </w:rPr>
        <w:t xml:space="preserve">are used as </w:t>
      </w:r>
      <w:r>
        <w:rPr>
          <w:rFonts w:hint="eastAsia"/>
          <w:sz w:val="20"/>
          <w:szCs w:val="20"/>
          <w:lang w:eastAsia="zh-CN"/>
        </w:rPr>
        <w:t xml:space="preserve">AI/ML model </w:t>
      </w:r>
      <w:r>
        <w:rPr>
          <w:rFonts w:hint="eastAsia" w:eastAsia="Times New Roman"/>
          <w:sz w:val="20"/>
          <w:szCs w:val="20"/>
        </w:rPr>
        <w:t xml:space="preserve">outputs.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Case 1-1-2</w:t>
      </w:r>
      <w:r>
        <w:rPr>
          <w:rFonts w:hint="eastAsia"/>
          <w:b/>
          <w:bCs/>
          <w:sz w:val="20"/>
          <w:szCs w:val="20"/>
        </w:rPr>
        <w:t xml:space="preserve"> (down sampling in Tx beams only)</w:t>
      </w:r>
      <w:r>
        <w:rPr>
          <w:rFonts w:hint="eastAsia" w:eastAsia="Times New Roman"/>
          <w:b/>
          <w:bCs/>
          <w:sz w:val="20"/>
          <w:szCs w:val="20"/>
        </w:rPr>
        <w:t xml:space="preserve">: </w:t>
      </w:r>
      <w:bookmarkStart w:id="2" w:name="OLE_LINK9"/>
      <w:r>
        <w:rPr>
          <w:rFonts w:hint="eastAsia" w:eastAsia="Times New Roman"/>
          <w:sz w:val="20"/>
          <w:szCs w:val="20"/>
        </w:rPr>
        <w:t xml:space="preserve">In the &lt;T16 R8&gt; case for </w:t>
      </w:r>
      <w:r>
        <w:rPr>
          <w:rFonts w:eastAsia="Times New Roman"/>
          <w:sz w:val="20"/>
          <w:szCs w:val="20"/>
        </w:rPr>
        <w:t>Tx-Rx beam pair prediction</w:t>
      </w:r>
      <w:r>
        <w:rPr>
          <w:rFonts w:hint="eastAsia" w:eastAsia="Times New Roman"/>
          <w:sz w:val="20"/>
          <w:szCs w:val="20"/>
        </w:rPr>
        <w:t xml:space="preserve">,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t>
      </w:r>
      <w:r>
        <w:rPr>
          <w:rFonts w:hint="eastAsia" w:eastAsia="Times New Roman"/>
          <w:sz w:val="20"/>
          <w:szCs w:val="20"/>
          <w:lang w:val="en-GB"/>
        </w:rPr>
        <w:t xml:space="preserve">are transmitted by the gNB and measured by </w:t>
      </w:r>
      <w:r>
        <w:rPr>
          <w:rFonts w:hint="eastAsia"/>
          <w:sz w:val="20"/>
          <w:szCs w:val="20"/>
        </w:rPr>
        <w:t>all 8</w:t>
      </w:r>
      <w:r>
        <w:rPr>
          <w:rFonts w:hint="eastAsia" w:eastAsia="Times New Roman"/>
          <w:sz w:val="20"/>
          <w:szCs w:val="20"/>
          <w:lang w:val="en-GB"/>
        </w:rPr>
        <w:t xml:space="preserve"> </w:t>
      </w:r>
      <w:r>
        <w:rPr>
          <w:rFonts w:hint="eastAsia"/>
          <w:sz w:val="20"/>
          <w:szCs w:val="20"/>
        </w:rPr>
        <w:t>Rx</w:t>
      </w:r>
      <w:r>
        <w:rPr>
          <w:rFonts w:hint="eastAsia" w:eastAsia="Times New Roman"/>
          <w:sz w:val="20"/>
          <w:szCs w:val="20"/>
          <w:lang w:val="en-GB"/>
        </w:rPr>
        <w:t xml:space="preserve"> beams</w:t>
      </w:r>
      <w:r>
        <w:rPr>
          <w:rFonts w:hint="eastAsia"/>
          <w:sz w:val="20"/>
          <w:szCs w:val="20"/>
        </w:rPr>
        <w:t xml:space="preserve"> </w:t>
      </w:r>
      <w:r>
        <w:rPr>
          <w:rFonts w:hint="eastAsia" w:eastAsia="Times New Roman"/>
          <w:sz w:val="20"/>
          <w:szCs w:val="20"/>
          <w:lang w:val="en-GB"/>
        </w:rPr>
        <w:t>in the UE</w:t>
      </w:r>
      <w:bookmarkEnd w:id="2"/>
      <w:r>
        <w:rPr>
          <w:rFonts w:hint="eastAsia" w:eastAsia="Times New Roman"/>
          <w:sz w:val="20"/>
          <w:szCs w:val="20"/>
          <w:lang w:val="en-GB"/>
        </w:rPr>
        <w:t>.</w:t>
      </w:r>
      <w:r>
        <w:rPr>
          <w:rFonts w:hint="eastAsia"/>
          <w:sz w:val="20"/>
          <w:szCs w:val="20"/>
        </w:rPr>
        <w:t xml:space="preserve"> </w:t>
      </w:r>
      <w:r>
        <w:rPr>
          <w:rFonts w:hint="eastAsia" w:eastAsia="Times New Roman"/>
          <w:sz w:val="20"/>
          <w:szCs w:val="20"/>
        </w:rPr>
        <w:t xml:space="preserve">In this case, </w:t>
      </w:r>
      <w:r>
        <w:rPr>
          <w:rFonts w:hint="eastAsia" w:eastAsia="Times New Roman"/>
          <w:sz w:val="20"/>
          <w:szCs w:val="20"/>
          <w:lang w:val="en-GB"/>
        </w:rPr>
        <w:t>RSRPs</w:t>
      </w:r>
      <w:r>
        <w:rPr>
          <w:rFonts w:hint="eastAsia" w:eastAsia="Times New Roman"/>
          <w:sz w:val="20"/>
          <w:szCs w:val="20"/>
        </w:rPr>
        <w:t xml:space="preserve"> of selected beam pairs (16x8=128 beam pairs) are used as </w:t>
      </w:r>
      <w:r>
        <w:rPr>
          <w:rFonts w:hint="eastAsia"/>
          <w:sz w:val="20"/>
          <w:szCs w:val="20"/>
          <w:lang w:eastAsia="zh-CN"/>
        </w:rPr>
        <w:t xml:space="preserve">AI/ML model </w:t>
      </w:r>
      <w:r>
        <w:rPr>
          <w:rFonts w:hint="eastAsia" w:eastAsia="Times New Roman"/>
          <w:sz w:val="20"/>
          <w:szCs w:val="20"/>
        </w:rPr>
        <w:t xml:space="preserve">inputs </w:t>
      </w:r>
      <w:r>
        <w:rPr>
          <w:rFonts w:hint="eastAsia" w:eastAsia="Times New Roman"/>
          <w:sz w:val="20"/>
          <w:szCs w:val="20"/>
          <w:lang w:val="en-GB"/>
        </w:rPr>
        <w:t>and predicted RSRPs of all beam pairs</w:t>
      </w:r>
      <w:r>
        <w:rPr>
          <w:rFonts w:hint="eastAsia" w:eastAsia="Times New Roman"/>
          <w:sz w:val="20"/>
          <w:szCs w:val="20"/>
        </w:rPr>
        <w:t xml:space="preserve"> (64x8=512 beam pairs)</w:t>
      </w:r>
      <w:r>
        <w:rPr>
          <w:rFonts w:hint="eastAsia" w:eastAsia="Times New Roman"/>
          <w:sz w:val="20"/>
          <w:szCs w:val="20"/>
          <w:lang w:val="en-GB"/>
        </w:rPr>
        <w:t xml:space="preserve"> </w:t>
      </w:r>
      <w:r>
        <w:rPr>
          <w:rFonts w:hint="eastAsia" w:eastAsia="Times New Roman"/>
          <w:sz w:val="20"/>
          <w:szCs w:val="20"/>
        </w:rPr>
        <w:t xml:space="preserve">are used as </w:t>
      </w:r>
      <w:r>
        <w:rPr>
          <w:rFonts w:hint="eastAsia"/>
          <w:sz w:val="20"/>
          <w:szCs w:val="20"/>
          <w:lang w:eastAsia="zh-CN"/>
        </w:rPr>
        <w:t xml:space="preserve">AI/ML model </w:t>
      </w:r>
      <w:r>
        <w:rPr>
          <w:rFonts w:hint="eastAsia" w:eastAsia="Times New Roman"/>
          <w:sz w:val="20"/>
          <w:szCs w:val="20"/>
        </w:rPr>
        <w:t xml:space="preserve">outputs. </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The simulation results are shown in Table </w:t>
      </w:r>
      <w:r>
        <w:rPr>
          <w:rFonts w:hint="eastAsia"/>
          <w:sz w:val="20"/>
          <w:szCs w:val="20"/>
        </w:rPr>
        <w:t>II</w:t>
      </w:r>
      <w:r>
        <w:rPr>
          <w:rFonts w:hint="eastAsia" w:eastAsia="Times New Roman"/>
          <w:sz w:val="20"/>
          <w:szCs w:val="20"/>
        </w:rPr>
        <w:t xml:space="preserve">. </w:t>
      </w:r>
      <w:r>
        <w:rPr>
          <w:rFonts w:hint="eastAsia"/>
          <w:sz w:val="20"/>
          <w:szCs w:val="20"/>
        </w:rPr>
        <w:t>T</w:t>
      </w:r>
      <w:r>
        <w:rPr>
          <w:rFonts w:hint="eastAsia" w:eastAsia="Times New Roman"/>
          <w:sz w:val="20"/>
          <w:szCs w:val="20"/>
          <w:lang w:val="en-GB"/>
        </w:rPr>
        <w:t xml:space="preserve">he spatial domain beam </w:t>
      </w:r>
      <w:r>
        <w:rPr>
          <w:rFonts w:hint="eastAsia"/>
          <w:sz w:val="20"/>
          <w:szCs w:val="20"/>
        </w:rPr>
        <w:t xml:space="preserve">pair </w:t>
      </w:r>
      <w:r>
        <w:rPr>
          <w:rFonts w:hint="eastAsia" w:eastAsia="Times New Roman"/>
          <w:sz w:val="20"/>
          <w:szCs w:val="20"/>
          <w:lang w:val="en-GB"/>
        </w:rPr>
        <w:t>prediction</w:t>
      </w:r>
      <w:r>
        <w:rPr>
          <w:rFonts w:hint="eastAsia"/>
          <w:sz w:val="20"/>
          <w:szCs w:val="20"/>
        </w:rPr>
        <w:t xml:space="preserve"> </w:t>
      </w:r>
      <w:r>
        <w:rPr>
          <w:rFonts w:hint="eastAsia" w:eastAsia="Times New Roman"/>
          <w:sz w:val="20"/>
          <w:szCs w:val="20"/>
          <w:lang w:val="en-GB"/>
        </w:rPr>
        <w:t xml:space="preserve">achieves a sufficiently high performance with only 25% beam overhead being used. </w:t>
      </w:r>
      <w:r>
        <w:rPr>
          <w:rFonts w:hint="eastAsia"/>
          <w:sz w:val="20"/>
          <w:szCs w:val="20"/>
        </w:rPr>
        <w:t>Besides, the Case 1-1-2 with down sampling in Tx beams only achieves better beam prediction accuracy than that of Case 1-1-1 with down sampling in both Tx and Rx beams. As can be concluded,</w:t>
      </w:r>
      <w:r>
        <w:rPr>
          <w:rFonts w:hint="eastAsia" w:eastAsia="Times New Roman"/>
          <w:sz w:val="20"/>
          <w:szCs w:val="20"/>
        </w:rPr>
        <w:t xml:space="preserve"> the number of Rx beams is relatively small and any sampling </w:t>
      </w:r>
      <w:r>
        <w:rPr>
          <w:rFonts w:hint="eastAsia" w:eastAsia="宋体"/>
          <w:sz w:val="20"/>
          <w:szCs w:val="20"/>
          <w:lang w:val="en-US" w:eastAsia="zh-CN"/>
        </w:rPr>
        <w:t xml:space="preserve">in </w:t>
      </w:r>
      <w:r>
        <w:rPr>
          <w:rFonts w:hint="eastAsia" w:eastAsia="Times New Roman"/>
          <w:sz w:val="20"/>
          <w:szCs w:val="20"/>
        </w:rPr>
        <w:t>the Rx beam space may cause serve loss of the spatial channel characteristic. Thus, in the beam pair prediction, it</w:t>
      </w:r>
      <w:r>
        <w:rPr>
          <w:rFonts w:eastAsia="Times New Roman"/>
          <w:sz w:val="20"/>
          <w:szCs w:val="20"/>
        </w:rPr>
        <w:t>’</w:t>
      </w:r>
      <w:r>
        <w:rPr>
          <w:rFonts w:hint="eastAsia" w:eastAsia="Times New Roman"/>
          <w:sz w:val="20"/>
          <w:szCs w:val="20"/>
        </w:rPr>
        <w:t xml:space="preserve">s better to take measurement results of all Rx beams as the </w:t>
      </w:r>
      <w:r>
        <w:rPr>
          <w:rFonts w:hint="eastAsia"/>
          <w:sz w:val="20"/>
          <w:szCs w:val="20"/>
          <w:lang w:eastAsia="zh-CN"/>
        </w:rPr>
        <w:t xml:space="preserve">AI/ML model </w:t>
      </w:r>
      <w:r>
        <w:rPr>
          <w:rFonts w:hint="eastAsia" w:eastAsia="Times New Roman"/>
          <w:sz w:val="20"/>
          <w:szCs w:val="20"/>
        </w:rPr>
        <w:t xml:space="preserve">input instead of performing any sampling </w:t>
      </w:r>
      <w:r>
        <w:rPr>
          <w:rFonts w:hint="eastAsia" w:eastAsia="宋体"/>
          <w:sz w:val="20"/>
          <w:szCs w:val="20"/>
          <w:lang w:val="en-US" w:eastAsia="zh-CN"/>
        </w:rPr>
        <w:t xml:space="preserve">in </w:t>
      </w:r>
      <w:r>
        <w:rPr>
          <w:rFonts w:hint="eastAsia" w:eastAsia="Times New Roman"/>
          <w:sz w:val="20"/>
          <w:szCs w:val="20"/>
        </w:rPr>
        <w:t>the Rx beam space. Other assistance information such as beam shape or beam usage are not evaluated since they are implementation-related information of the gNB or UE, which may be difficult to be disclosed across vendors.</w:t>
      </w:r>
    </w:p>
    <w:p>
      <w:pPr>
        <w:snapToGrid w:val="0"/>
        <w:spacing w:before="72" w:beforeLines="30" w:after="72" w:afterLines="30" w:line="288" w:lineRule="auto"/>
        <w:jc w:val="center"/>
        <w:rPr>
          <w:sz w:val="20"/>
          <w:szCs w:val="20"/>
        </w:rPr>
      </w:pPr>
      <w:r>
        <w:rPr>
          <w:rFonts w:hint="eastAsia" w:eastAsia="Times New Roman"/>
          <w:sz w:val="20"/>
          <w:szCs w:val="20"/>
        </w:rPr>
        <w:t xml:space="preserve">Table </w:t>
      </w:r>
      <w:r>
        <w:rPr>
          <w:rFonts w:hint="eastAsia"/>
          <w:sz w:val="20"/>
          <w:szCs w:val="20"/>
        </w:rPr>
        <w:t>II</w:t>
      </w:r>
      <w:r>
        <w:rPr>
          <w:rFonts w:hint="eastAsia" w:eastAsia="Times New Roman"/>
          <w:sz w:val="20"/>
          <w:szCs w:val="20"/>
          <w:lang w:val="en-GB"/>
        </w:rPr>
        <w:t xml:space="preserve">. </w:t>
      </w:r>
      <w:r>
        <w:rPr>
          <w:rFonts w:hint="eastAsia" w:eastAsia="Times New Roman"/>
          <w:sz w:val="20"/>
          <w:szCs w:val="20"/>
        </w:rPr>
        <w:t xml:space="preserve">Performance comparison of </w:t>
      </w:r>
      <w:r>
        <w:rPr>
          <w:rFonts w:eastAsia="Times New Roman"/>
          <w:sz w:val="20"/>
          <w:szCs w:val="20"/>
        </w:rPr>
        <w:t>Tx-Rx beam pair</w:t>
      </w:r>
      <w:r>
        <w:rPr>
          <w:rFonts w:hint="eastAsia" w:eastAsia="Times New Roman"/>
          <w:sz w:val="20"/>
          <w:szCs w:val="20"/>
        </w:rPr>
        <w:t xml:space="preserve"> </w:t>
      </w:r>
      <w:r>
        <w:rPr>
          <w:rFonts w:eastAsia="Times New Roman"/>
          <w:sz w:val="20"/>
          <w:szCs w:val="20"/>
        </w:rPr>
        <w:t>prediction</w:t>
      </w:r>
      <w:r>
        <w:rPr>
          <w:rFonts w:hint="eastAsia" w:eastAsia="Times New Roman"/>
          <w:sz w:val="20"/>
          <w:szCs w:val="20"/>
        </w:rPr>
        <w:t xml:space="preserve"> </w:t>
      </w:r>
      <w:r>
        <w:rPr>
          <w:rFonts w:hint="eastAsia"/>
          <w:sz w:val="20"/>
          <w:szCs w:val="20"/>
        </w:rPr>
        <w:t>with different Rx beam assumptions</w:t>
      </w:r>
    </w:p>
    <w:tbl>
      <w:tblPr>
        <w:tblStyle w:val="24"/>
        <w:tblW w:w="43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843"/>
        <w:gridCol w:w="1276"/>
        <w:gridCol w:w="1208"/>
        <w:gridCol w:w="1204"/>
        <w:gridCol w:w="1241"/>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16" w:type="pct"/>
            <w:gridSpan w:val="2"/>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Cases</w:t>
            </w:r>
          </w:p>
        </w:tc>
        <w:tc>
          <w:tcPr>
            <w:tcW w:w="773"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Average L1-RSRP difference of Top-1 predicted beam</w:t>
            </w:r>
          </w:p>
        </w:tc>
        <w:tc>
          <w:tcPr>
            <w:tcW w:w="73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Beam prediction accuracy with 1dB margin for Top-1 beam</w:t>
            </w:r>
          </w:p>
        </w:tc>
        <w:tc>
          <w:tcPr>
            <w:tcW w:w="73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Beam prediction accuracy for Top-1 beam</w:t>
            </w:r>
          </w:p>
        </w:tc>
        <w:tc>
          <w:tcPr>
            <w:tcW w:w="752"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Beam prediction accuracy for Top-5 beams</w:t>
            </w:r>
          </w:p>
        </w:tc>
        <w:tc>
          <w:tcPr>
            <w:tcW w:w="795"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pct"/>
            <w:vMerge w:val="restart"/>
            <w:vAlign w:val="center"/>
          </w:tcPr>
          <w:p>
            <w:pPr>
              <w:widowControl w:val="0"/>
              <w:adjustRightInd w:val="0"/>
              <w:snapToGrid w:val="0"/>
              <w:spacing w:before="72" w:beforeLines="30" w:after="72" w:afterLines="30" w:line="288" w:lineRule="auto"/>
              <w:jc w:val="center"/>
              <w:rPr>
                <w:kern w:val="2"/>
                <w:sz w:val="20"/>
                <w:szCs w:val="20"/>
              </w:rPr>
            </w:pPr>
            <w:r>
              <w:rPr>
                <w:sz w:val="20"/>
                <w:szCs w:val="20"/>
              </w:rPr>
              <w:t>Case 1-1-1</w:t>
            </w:r>
          </w:p>
        </w:tc>
        <w:tc>
          <w:tcPr>
            <w:tcW w:w="509" w:type="pct"/>
            <w:vAlign w:val="center"/>
          </w:tcPr>
          <w:p>
            <w:pPr>
              <w:widowControl w:val="0"/>
              <w:adjustRightInd w:val="0"/>
              <w:snapToGrid w:val="0"/>
              <w:spacing w:before="72" w:beforeLines="30" w:after="72" w:afterLines="30" w:line="288" w:lineRule="auto"/>
              <w:jc w:val="center"/>
              <w:rPr>
                <w:sz w:val="20"/>
                <w:szCs w:val="20"/>
              </w:rPr>
            </w:pPr>
            <w:r>
              <w:rPr>
                <w:sz w:val="20"/>
                <w:szCs w:val="20"/>
              </w:rPr>
              <w:t>Non-AI</w:t>
            </w:r>
          </w:p>
        </w:tc>
        <w:tc>
          <w:tcPr>
            <w:tcW w:w="773"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3.099</w:t>
            </w:r>
          </w:p>
        </w:tc>
        <w:tc>
          <w:tcPr>
            <w:tcW w:w="73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42.80%</w:t>
            </w:r>
          </w:p>
        </w:tc>
        <w:tc>
          <w:tcPr>
            <w:tcW w:w="73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25.95%</w:t>
            </w:r>
          </w:p>
        </w:tc>
        <w:tc>
          <w:tcPr>
            <w:tcW w:w="752"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25.95%</w:t>
            </w:r>
          </w:p>
        </w:tc>
        <w:tc>
          <w:tcPr>
            <w:tcW w:w="795"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3.099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pct"/>
            <w:vMerge w:val="continue"/>
            <w:vAlign w:val="center"/>
          </w:tcPr>
          <w:p>
            <w:pPr>
              <w:widowControl w:val="0"/>
              <w:adjustRightInd w:val="0"/>
              <w:snapToGrid w:val="0"/>
              <w:spacing w:before="72" w:beforeLines="30" w:after="72" w:afterLines="30" w:line="288" w:lineRule="auto"/>
              <w:jc w:val="center"/>
              <w:rPr>
                <w:kern w:val="2"/>
                <w:sz w:val="20"/>
                <w:szCs w:val="20"/>
              </w:rPr>
            </w:pPr>
          </w:p>
        </w:tc>
        <w:tc>
          <w:tcPr>
            <w:tcW w:w="509" w:type="pct"/>
            <w:vAlign w:val="center"/>
          </w:tcPr>
          <w:p>
            <w:pPr>
              <w:widowControl w:val="0"/>
              <w:adjustRightInd w:val="0"/>
              <w:snapToGrid w:val="0"/>
              <w:spacing w:before="72" w:beforeLines="30" w:after="72" w:afterLines="30" w:line="288" w:lineRule="auto"/>
              <w:jc w:val="center"/>
              <w:rPr>
                <w:sz w:val="20"/>
                <w:szCs w:val="20"/>
              </w:rPr>
            </w:pPr>
            <w:r>
              <w:rPr>
                <w:sz w:val="20"/>
                <w:szCs w:val="20"/>
              </w:rPr>
              <w:t xml:space="preserve">AI </w:t>
            </w:r>
          </w:p>
        </w:tc>
        <w:tc>
          <w:tcPr>
            <w:tcW w:w="773"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1.171</w:t>
            </w:r>
          </w:p>
        </w:tc>
        <w:tc>
          <w:tcPr>
            <w:tcW w:w="73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77.60%</w:t>
            </w:r>
          </w:p>
        </w:tc>
        <w:tc>
          <w:tcPr>
            <w:tcW w:w="73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60.35%</w:t>
            </w:r>
          </w:p>
        </w:tc>
        <w:tc>
          <w:tcPr>
            <w:tcW w:w="752"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87.15%</w:t>
            </w:r>
          </w:p>
        </w:tc>
        <w:tc>
          <w:tcPr>
            <w:tcW w:w="795"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0.756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pct"/>
            <w:vMerge w:val="restart"/>
            <w:vAlign w:val="center"/>
          </w:tcPr>
          <w:p>
            <w:pPr>
              <w:widowControl w:val="0"/>
              <w:adjustRightInd w:val="0"/>
              <w:snapToGrid w:val="0"/>
              <w:spacing w:before="72" w:beforeLines="30" w:after="72" w:afterLines="30" w:line="288" w:lineRule="auto"/>
              <w:jc w:val="center"/>
              <w:rPr>
                <w:sz w:val="20"/>
                <w:szCs w:val="20"/>
              </w:rPr>
            </w:pPr>
            <w:r>
              <w:rPr>
                <w:sz w:val="20"/>
                <w:szCs w:val="20"/>
              </w:rPr>
              <w:t>Case 1-1-2</w:t>
            </w:r>
          </w:p>
        </w:tc>
        <w:tc>
          <w:tcPr>
            <w:tcW w:w="509" w:type="pct"/>
            <w:vAlign w:val="center"/>
          </w:tcPr>
          <w:p>
            <w:pPr>
              <w:widowControl w:val="0"/>
              <w:adjustRightInd w:val="0"/>
              <w:snapToGrid w:val="0"/>
              <w:spacing w:before="72" w:beforeLines="30" w:after="72" w:afterLines="30" w:line="288" w:lineRule="auto"/>
              <w:jc w:val="center"/>
              <w:rPr>
                <w:sz w:val="20"/>
                <w:szCs w:val="20"/>
              </w:rPr>
            </w:pPr>
            <w:r>
              <w:rPr>
                <w:sz w:val="20"/>
                <w:szCs w:val="20"/>
              </w:rPr>
              <w:t>Non-AI</w:t>
            </w:r>
          </w:p>
        </w:tc>
        <w:tc>
          <w:tcPr>
            <w:tcW w:w="773"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2.604</w:t>
            </w:r>
          </w:p>
        </w:tc>
        <w:tc>
          <w:tcPr>
            <w:tcW w:w="73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43.25%</w:t>
            </w:r>
          </w:p>
        </w:tc>
        <w:tc>
          <w:tcPr>
            <w:tcW w:w="73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27.55%</w:t>
            </w:r>
          </w:p>
        </w:tc>
        <w:tc>
          <w:tcPr>
            <w:tcW w:w="752"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27.55%</w:t>
            </w:r>
          </w:p>
        </w:tc>
        <w:tc>
          <w:tcPr>
            <w:tcW w:w="795" w:type="pct"/>
            <w:vAlign w:val="center"/>
          </w:tcPr>
          <w:p>
            <w:pPr>
              <w:pStyle w:val="100"/>
              <w:widowControl w:val="0"/>
              <w:snapToGrid w:val="0"/>
              <w:spacing w:before="72" w:beforeLines="30" w:after="72" w:afterLines="30" w:line="288" w:lineRule="auto"/>
              <w:ind w:firstLine="0" w:firstLineChars="0"/>
              <w:contextualSpacing/>
              <w:jc w:val="center"/>
              <w:rPr>
                <w:rFonts w:eastAsia="Batang"/>
                <w:sz w:val="20"/>
                <w:szCs w:val="20"/>
              </w:rPr>
            </w:pPr>
            <w:r>
              <w:rPr>
                <w:sz w:val="20"/>
                <w:szCs w:val="20"/>
              </w:rPr>
              <w:t>2.604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pct"/>
            <w:vMerge w:val="continue"/>
            <w:vAlign w:val="center"/>
          </w:tcPr>
          <w:p>
            <w:pPr>
              <w:widowControl w:val="0"/>
              <w:adjustRightInd w:val="0"/>
              <w:snapToGrid w:val="0"/>
              <w:spacing w:before="72" w:beforeLines="30" w:after="72" w:afterLines="30" w:line="288" w:lineRule="auto"/>
              <w:jc w:val="center"/>
              <w:rPr>
                <w:sz w:val="20"/>
                <w:szCs w:val="20"/>
              </w:rPr>
            </w:pPr>
          </w:p>
        </w:tc>
        <w:tc>
          <w:tcPr>
            <w:tcW w:w="509" w:type="pct"/>
            <w:vAlign w:val="center"/>
          </w:tcPr>
          <w:p>
            <w:pPr>
              <w:widowControl w:val="0"/>
              <w:adjustRightInd w:val="0"/>
              <w:snapToGrid w:val="0"/>
              <w:spacing w:before="72" w:beforeLines="30" w:after="72" w:afterLines="30" w:line="288" w:lineRule="auto"/>
              <w:jc w:val="center"/>
              <w:rPr>
                <w:sz w:val="20"/>
                <w:szCs w:val="20"/>
              </w:rPr>
            </w:pPr>
            <w:r>
              <w:rPr>
                <w:sz w:val="20"/>
                <w:szCs w:val="20"/>
              </w:rPr>
              <w:t xml:space="preserve">AI </w:t>
            </w:r>
          </w:p>
        </w:tc>
        <w:tc>
          <w:tcPr>
            <w:tcW w:w="773"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0.357</w:t>
            </w:r>
          </w:p>
        </w:tc>
        <w:tc>
          <w:tcPr>
            <w:tcW w:w="73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91.10%</w:t>
            </w:r>
          </w:p>
        </w:tc>
        <w:tc>
          <w:tcPr>
            <w:tcW w:w="73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75.55%</w:t>
            </w:r>
          </w:p>
        </w:tc>
        <w:tc>
          <w:tcPr>
            <w:tcW w:w="752"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96.55%</w:t>
            </w:r>
          </w:p>
        </w:tc>
        <w:tc>
          <w:tcPr>
            <w:tcW w:w="795"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0.352</w:t>
            </w:r>
          </w:p>
        </w:tc>
      </w:tr>
    </w:tbl>
    <w:p>
      <w:pPr>
        <w:pStyle w:val="117"/>
        <w:spacing w:before="72" w:after="72"/>
        <w:jc w:val="both"/>
        <w:rPr>
          <w:kern w:val="2"/>
          <w:sz w:val="20"/>
          <w:szCs w:val="20"/>
        </w:rPr>
      </w:pPr>
      <w:r>
        <w:rPr>
          <w:rFonts w:hint="eastAsia"/>
          <w:kern w:val="2"/>
          <w:sz w:val="20"/>
          <w:szCs w:val="20"/>
        </w:rPr>
        <w:t>The spatial</w:t>
      </w:r>
      <w:r>
        <w:rPr>
          <w:rFonts w:hint="eastAsia"/>
          <w:kern w:val="2"/>
          <w:sz w:val="20"/>
          <w:szCs w:val="20"/>
          <w:lang w:val="en-US" w:eastAsia="zh-CN"/>
        </w:rPr>
        <w:t>-</w:t>
      </w:r>
      <w:r>
        <w:rPr>
          <w:rFonts w:hint="eastAsia"/>
          <w:kern w:val="2"/>
          <w:sz w:val="20"/>
          <w:szCs w:val="20"/>
        </w:rPr>
        <w:t>domain beam</w:t>
      </w:r>
      <w:r>
        <w:rPr>
          <w:rFonts w:hint="eastAsia"/>
          <w:kern w:val="2"/>
          <w:sz w:val="20"/>
          <w:szCs w:val="20"/>
          <w:lang w:val="en-US" w:eastAsia="zh-CN"/>
        </w:rPr>
        <w:t xml:space="preserve"> pair</w:t>
      </w:r>
      <w:r>
        <w:rPr>
          <w:rFonts w:hint="eastAsia"/>
          <w:kern w:val="2"/>
          <w:sz w:val="20"/>
          <w:szCs w:val="20"/>
        </w:rPr>
        <w:t xml:space="preserve"> prediction with a fixed beam pattern achieves a sufficiently high performance with only 25% beam overhead being used.</w:t>
      </w:r>
    </w:p>
    <w:p>
      <w:pPr>
        <w:pStyle w:val="117"/>
        <w:spacing w:before="72" w:after="72"/>
        <w:jc w:val="both"/>
        <w:rPr>
          <w:kern w:val="2"/>
          <w:sz w:val="20"/>
          <w:szCs w:val="20"/>
        </w:rPr>
      </w:pPr>
      <w:r>
        <w:rPr>
          <w:rFonts w:hint="eastAsia"/>
          <w:kern w:val="2"/>
          <w:sz w:val="20"/>
          <w:szCs w:val="20"/>
        </w:rPr>
        <w:t xml:space="preserve">With the same sampling rate on the whole beam space, Case 1-1-2 (without </w:t>
      </w:r>
      <w:r>
        <w:rPr>
          <w:rFonts w:hint="eastAsia"/>
          <w:kern w:val="2"/>
          <w:sz w:val="20"/>
          <w:szCs w:val="20"/>
          <w:lang w:val="en-US" w:eastAsia="zh-CN"/>
        </w:rPr>
        <w:t xml:space="preserve">down </w:t>
      </w:r>
      <w:r>
        <w:rPr>
          <w:rFonts w:hint="eastAsia"/>
          <w:kern w:val="2"/>
          <w:sz w:val="20"/>
          <w:szCs w:val="20"/>
        </w:rPr>
        <w:t xml:space="preserve">sampling </w:t>
      </w:r>
      <w:r>
        <w:rPr>
          <w:rFonts w:hint="eastAsia"/>
          <w:kern w:val="2"/>
          <w:sz w:val="20"/>
          <w:szCs w:val="20"/>
          <w:lang w:val="en-US" w:eastAsia="zh-CN"/>
        </w:rPr>
        <w:t xml:space="preserve">in the </w:t>
      </w:r>
      <w:r>
        <w:rPr>
          <w:rFonts w:hint="eastAsia"/>
          <w:kern w:val="2"/>
          <w:sz w:val="20"/>
          <w:szCs w:val="20"/>
        </w:rPr>
        <w:t xml:space="preserve">Rx beam space) obtains a better performance than Case 1-1-1 (with </w:t>
      </w:r>
      <w:r>
        <w:rPr>
          <w:rFonts w:hint="eastAsia"/>
          <w:kern w:val="2"/>
          <w:sz w:val="20"/>
          <w:szCs w:val="20"/>
          <w:lang w:val="en-US" w:eastAsia="zh-CN"/>
        </w:rPr>
        <w:t xml:space="preserve">down </w:t>
      </w:r>
      <w:r>
        <w:rPr>
          <w:rFonts w:hint="eastAsia"/>
          <w:kern w:val="2"/>
          <w:sz w:val="20"/>
          <w:szCs w:val="20"/>
        </w:rPr>
        <w:t xml:space="preserve">sampling </w:t>
      </w:r>
      <w:r>
        <w:rPr>
          <w:rFonts w:hint="eastAsia"/>
          <w:kern w:val="2"/>
          <w:sz w:val="20"/>
          <w:szCs w:val="20"/>
          <w:lang w:val="en-US" w:eastAsia="zh-CN"/>
        </w:rPr>
        <w:t xml:space="preserve">in the </w:t>
      </w:r>
      <w:r>
        <w:rPr>
          <w:rFonts w:hint="eastAsia"/>
          <w:kern w:val="2"/>
          <w:sz w:val="20"/>
          <w:szCs w:val="20"/>
        </w:rPr>
        <w:t>Rx beam space).</w:t>
      </w:r>
    </w:p>
    <w:p>
      <w:pPr>
        <w:pStyle w:val="35"/>
        <w:spacing w:before="72" w:after="72"/>
        <w:jc w:val="both"/>
        <w:rPr>
          <w:kern w:val="2"/>
          <w:sz w:val="20"/>
          <w:szCs w:val="20"/>
        </w:rPr>
      </w:pPr>
      <w:r>
        <w:rPr>
          <w:rFonts w:hint="eastAsia"/>
          <w:kern w:val="2"/>
          <w:sz w:val="20"/>
          <w:szCs w:val="20"/>
        </w:rPr>
        <w:t>In the beam pair prediction, it</w:t>
      </w:r>
      <w:r>
        <w:rPr>
          <w:kern w:val="2"/>
          <w:sz w:val="20"/>
          <w:szCs w:val="20"/>
          <w:lang w:val="en-US"/>
        </w:rPr>
        <w:t>’</w:t>
      </w:r>
      <w:r>
        <w:rPr>
          <w:rFonts w:hint="eastAsia"/>
          <w:kern w:val="2"/>
          <w:sz w:val="20"/>
          <w:szCs w:val="20"/>
        </w:rPr>
        <w:t xml:space="preserve">s better to take measurement results of all Rx beams as the </w:t>
      </w:r>
      <w:r>
        <w:rPr>
          <w:rFonts w:hint="eastAsia"/>
          <w:kern w:val="2"/>
          <w:sz w:val="20"/>
          <w:szCs w:val="20"/>
          <w:lang w:eastAsia="zh-CN"/>
        </w:rPr>
        <w:t xml:space="preserve">AI/ML model </w:t>
      </w:r>
      <w:r>
        <w:rPr>
          <w:rFonts w:hint="eastAsia"/>
          <w:kern w:val="2"/>
          <w:sz w:val="20"/>
          <w:szCs w:val="20"/>
        </w:rPr>
        <w:t xml:space="preserve">input </w:t>
      </w:r>
      <w:r>
        <w:rPr>
          <w:rFonts w:hint="eastAsia"/>
          <w:kern w:val="2"/>
          <w:sz w:val="20"/>
          <w:szCs w:val="20"/>
          <w:lang w:val="en-US" w:eastAsia="zh-CN"/>
        </w:rPr>
        <w:t xml:space="preserve">(i.e., </w:t>
      </w:r>
      <w:r>
        <w:rPr>
          <w:rFonts w:hint="eastAsia"/>
          <w:b/>
          <w:bCs/>
          <w:sz w:val="20"/>
          <w:szCs w:val="20"/>
        </w:rPr>
        <w:t>down sampling in Tx beams only</w:t>
      </w:r>
      <w:r>
        <w:rPr>
          <w:rFonts w:hint="eastAsia"/>
          <w:kern w:val="2"/>
          <w:sz w:val="20"/>
          <w:szCs w:val="20"/>
          <w:lang w:val="en-US" w:eastAsia="zh-CN"/>
        </w:rPr>
        <w:t xml:space="preserve">) </w:t>
      </w:r>
      <w:r>
        <w:rPr>
          <w:rFonts w:hint="eastAsia"/>
          <w:kern w:val="2"/>
          <w:sz w:val="20"/>
          <w:szCs w:val="20"/>
        </w:rPr>
        <w:t xml:space="preserve">instead of performing any sampling </w:t>
      </w:r>
      <w:r>
        <w:rPr>
          <w:rFonts w:hint="eastAsia"/>
          <w:kern w:val="2"/>
          <w:sz w:val="20"/>
          <w:szCs w:val="20"/>
          <w:lang w:val="en-US" w:eastAsia="zh-CN"/>
        </w:rPr>
        <w:t xml:space="preserve">in </w:t>
      </w:r>
      <w:r>
        <w:rPr>
          <w:rFonts w:hint="eastAsia"/>
          <w:kern w:val="2"/>
          <w:sz w:val="20"/>
          <w:szCs w:val="20"/>
        </w:rPr>
        <w:t xml:space="preserve">the Rx beam space. </w:t>
      </w:r>
    </w:p>
    <w:p>
      <w:pPr>
        <w:pStyle w:val="35"/>
        <w:spacing w:before="72" w:after="72"/>
        <w:jc w:val="both"/>
        <w:rPr>
          <w:kern w:val="2"/>
          <w:sz w:val="20"/>
          <w:szCs w:val="20"/>
        </w:rPr>
      </w:pPr>
      <w:r>
        <w:rPr>
          <w:rFonts w:hint="eastAsia" w:eastAsia="Times New Roman"/>
          <w:sz w:val="20"/>
          <w:szCs w:val="20"/>
        </w:rPr>
        <w:t xml:space="preserve">For the </w:t>
      </w:r>
      <w:r>
        <w:rPr>
          <w:rFonts w:hint="eastAsia" w:eastAsia="宋体"/>
          <w:sz w:val="20"/>
          <w:szCs w:val="20"/>
          <w:lang w:val="en-US"/>
        </w:rPr>
        <w:t>Rx beam assumption</w:t>
      </w:r>
      <w:r>
        <w:rPr>
          <w:rFonts w:hint="eastAsia" w:eastAsia="Times New Roman"/>
          <w:sz w:val="20"/>
          <w:szCs w:val="20"/>
        </w:rPr>
        <w:t xml:space="preserve"> of beam pair prediction, </w:t>
      </w:r>
      <w:r>
        <w:rPr>
          <w:rFonts w:hint="eastAsia" w:eastAsia="宋体"/>
          <w:sz w:val="20"/>
          <w:szCs w:val="20"/>
          <w:lang w:val="en-US"/>
        </w:rPr>
        <w:t>consider both the Tx down sampling and/or Rx down sampling for evaluation.</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Rx beam assumption for Tx beam prediction</w:t>
      </w:r>
    </w:p>
    <w:p>
      <w:pPr>
        <w:overflowPunct w:val="0"/>
        <w:autoSpaceDE w:val="0"/>
        <w:autoSpaceDN w:val="0"/>
        <w:adjustRightInd w:val="0"/>
        <w:snapToGrid w:val="0"/>
        <w:spacing w:before="72" w:beforeLines="30" w:after="72" w:afterLines="30" w:line="288" w:lineRule="auto"/>
        <w:contextualSpacing/>
        <w:textAlignment w:val="baseline"/>
        <w:rPr>
          <w:sz w:val="20"/>
          <w:szCs w:val="20"/>
        </w:rPr>
      </w:pPr>
      <w:r>
        <w:rPr>
          <w:rFonts w:hint="eastAsia"/>
          <w:sz w:val="20"/>
          <w:szCs w:val="20"/>
        </w:rPr>
        <w:t>F</w:t>
      </w:r>
      <w:r>
        <w:rPr>
          <w:rFonts w:hint="eastAsia" w:eastAsia="Times New Roman"/>
          <w:sz w:val="20"/>
          <w:szCs w:val="20"/>
        </w:rPr>
        <w:t xml:space="preserve">or evaluation of the DL Tx beam prediction and </w:t>
      </w:r>
      <w:r>
        <w:rPr>
          <w:rFonts w:eastAsia="Times New Roman"/>
          <w:sz w:val="20"/>
          <w:szCs w:val="20"/>
          <w:lang w:val="en-GB" w:eastAsia="en-US"/>
        </w:rPr>
        <w:t>providing input for AI/ML model for training and/or inference</w:t>
      </w:r>
      <w:r>
        <w:rPr>
          <w:rFonts w:hint="eastAsia" w:eastAsia="Times New Roman"/>
          <w:sz w:val="20"/>
          <w:szCs w:val="20"/>
        </w:rPr>
        <w:t>, an agreement about Rx beam assumptions was reached in RAN1#112</w:t>
      </w:r>
      <w:r>
        <w:rPr>
          <w:rFonts w:hint="eastAsia"/>
          <w:sz w:val="20"/>
          <w:szCs w:val="20"/>
        </w:rPr>
        <w:t>bis-e</w:t>
      </w:r>
      <w:r>
        <w:rPr>
          <w:rFonts w:hint="eastAsia" w:eastAsia="Times New Roman"/>
          <w:sz w:val="20"/>
          <w:szCs w:val="20"/>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napToGrid w:val="0"/>
              <w:spacing w:before="72" w:beforeLines="30" w:after="72" w:afterLines="30" w:line="288" w:lineRule="auto"/>
              <w:rPr>
                <w:b/>
                <w:bCs/>
                <w:sz w:val="20"/>
                <w:szCs w:val="20"/>
                <w:u w:val="single"/>
              </w:rPr>
            </w:pPr>
            <w:r>
              <w:rPr>
                <w:b/>
                <w:bCs/>
                <w:sz w:val="20"/>
                <w:szCs w:val="20"/>
                <w:u w:val="single"/>
              </w:rPr>
              <w:t>Agreement:</w:t>
            </w:r>
          </w:p>
          <w:p>
            <w:pPr>
              <w:widowControl w:val="0"/>
              <w:snapToGrid w:val="0"/>
              <w:spacing w:before="72" w:beforeLines="30" w:after="72" w:afterLines="30" w:line="288" w:lineRule="auto"/>
              <w:rPr>
                <w:sz w:val="20"/>
                <w:szCs w:val="20"/>
              </w:rPr>
            </w:pPr>
            <w:r>
              <w:rPr>
                <w:sz w:val="20"/>
                <w:szCs w:val="20"/>
              </w:rPr>
              <w:t>At least for evaluation on the performance of DL Tx beam prediction, consider the following options for Rx beam for providing input for AI/ML model for training and/or inference if applicable</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 xml:space="preserve">Option 1: Measurements of the “best” Rx beam with exhaustive beam sweeping for each model input sample </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 xml:space="preserve">Companies report how to select the “best” Rx beam(s)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Option 2: Measurements of specific Rx beam(s)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 xml:space="preserve">Companies report how to select specific Rx beam(s)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Option 3: Measurements of random Rx beam(s) per model input sample</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Times New Roman"/>
                <w:sz w:val="20"/>
                <w:szCs w:val="20"/>
              </w:rPr>
            </w:pPr>
            <w:r>
              <w:rPr>
                <w:rFonts w:eastAsia="Batang"/>
                <w:sz w:val="20"/>
                <w:szCs w:val="20"/>
                <w:lang w:val="en-GB" w:eastAsia="en-US"/>
              </w:rPr>
              <w:t>Other options are not precluded and can be reported by companies.</w:t>
            </w:r>
          </w:p>
        </w:tc>
      </w:tr>
    </w:tbl>
    <w:p>
      <w:pPr>
        <w:snapToGrid w:val="0"/>
        <w:spacing w:before="72" w:beforeLines="30" w:after="72" w:afterLines="30" w:line="288" w:lineRule="auto"/>
        <w:jc w:val="both"/>
        <w:rPr>
          <w:bCs/>
          <w:sz w:val="20"/>
          <w:szCs w:val="20"/>
        </w:rPr>
      </w:pPr>
      <w:r>
        <w:rPr>
          <w:rFonts w:hint="eastAsia" w:eastAsia="Times New Roman"/>
          <w:sz w:val="20"/>
          <w:szCs w:val="20"/>
        </w:rPr>
        <w:t>As the AI/ML based beam prediction focuses exclusively on data-driven methods, more input information would generate better beam prediction performance. Therefore, if measurement results of Set B associated with different Rx beams are available, it</w:t>
      </w:r>
      <w:r>
        <w:rPr>
          <w:rFonts w:eastAsia="Times New Roman"/>
          <w:sz w:val="20"/>
          <w:szCs w:val="20"/>
        </w:rPr>
        <w:t>’</w:t>
      </w:r>
      <w:r>
        <w:rPr>
          <w:rFonts w:hint="eastAsia" w:eastAsia="Times New Roman"/>
          <w:sz w:val="20"/>
          <w:szCs w:val="20"/>
        </w:rPr>
        <w:t xml:space="preserve">s better that all information of measurement results including Rx beam ID are fed to the AI/ML model to facilitate better prediction performance, which falls into the field of beam pair prediction. Therefore, in the case of Tx beam prediction, we prefer that only one Rx beam is used for </w:t>
      </w:r>
      <w:r>
        <w:rPr>
          <w:rFonts w:eastAsia="Times New Roman"/>
          <w:sz w:val="20"/>
          <w:szCs w:val="20"/>
          <w:lang w:val="en-GB" w:eastAsia="en-US"/>
        </w:rPr>
        <w:t>providing input for AI/ML model</w:t>
      </w:r>
      <w:r>
        <w:rPr>
          <w:rFonts w:hint="eastAsia" w:eastAsia="Times New Roman"/>
          <w:sz w:val="20"/>
          <w:szCs w:val="20"/>
        </w:rPr>
        <w:t xml:space="preserve"> </w:t>
      </w:r>
      <w:r>
        <w:rPr>
          <w:rFonts w:eastAsia="Times New Roman"/>
          <w:sz w:val="20"/>
          <w:szCs w:val="20"/>
          <w:lang w:val="en-GB" w:eastAsia="en-US"/>
        </w:rPr>
        <w:t>for training and/or inference</w:t>
      </w:r>
      <w:r>
        <w:rPr>
          <w:rFonts w:hint="eastAsia" w:eastAsia="Times New Roman"/>
          <w:sz w:val="20"/>
          <w:szCs w:val="20"/>
        </w:rPr>
        <w:t xml:space="preserve">.  If only one Rx beam is used for beam measurement </w:t>
      </w:r>
      <w:r>
        <w:rPr>
          <w:rFonts w:hint="eastAsia" w:eastAsia="宋体"/>
          <w:sz w:val="20"/>
          <w:szCs w:val="20"/>
          <w:lang w:val="en-US" w:eastAsia="zh-CN"/>
        </w:rPr>
        <w:t xml:space="preserve">for </w:t>
      </w:r>
      <w:r>
        <w:rPr>
          <w:rFonts w:hint="eastAsia" w:eastAsia="Times New Roman"/>
          <w:sz w:val="20"/>
          <w:szCs w:val="20"/>
        </w:rPr>
        <w:t xml:space="preserve">Tx beam </w:t>
      </w:r>
      <w:r>
        <w:rPr>
          <w:rFonts w:eastAsia="Times New Roman"/>
          <w:sz w:val="20"/>
          <w:szCs w:val="20"/>
        </w:rPr>
        <w:t xml:space="preserve">prediction, </w:t>
      </w:r>
      <w:r>
        <w:rPr>
          <w:sz w:val="20"/>
          <w:szCs w:val="20"/>
        </w:rPr>
        <w:t>four Rx beam assumptions are considered</w:t>
      </w:r>
      <w:r>
        <w:rPr>
          <w:rFonts w:hint="eastAsia"/>
          <w:sz w:val="20"/>
          <w:szCs w:val="20"/>
        </w:rPr>
        <w:t xml:space="preserve">: 1) </w:t>
      </w:r>
      <w:r>
        <w:rPr>
          <w:rFonts w:hint="eastAsia" w:eastAsia="Batang"/>
          <w:bCs/>
          <w:sz w:val="20"/>
          <w:szCs w:val="20"/>
        </w:rPr>
        <w:t>a</w:t>
      </w:r>
      <w:r>
        <w:rPr>
          <w:rFonts w:eastAsia="Batang"/>
          <w:bCs/>
          <w:sz w:val="20"/>
          <w:szCs w:val="20"/>
        </w:rPr>
        <w:t>ssumption 1:</w:t>
      </w:r>
      <w:r>
        <w:rPr>
          <w:rFonts w:eastAsia="Batang"/>
          <w:bCs/>
          <w:sz w:val="20"/>
          <w:szCs w:val="20"/>
          <w:lang w:val="en-GB" w:eastAsia="ko-KR"/>
        </w:rPr>
        <w:t xml:space="preserve"> </w:t>
      </w:r>
      <w:r>
        <w:rPr>
          <w:rFonts w:eastAsia="Batang"/>
          <w:bCs/>
          <w:sz w:val="20"/>
          <w:szCs w:val="20"/>
        </w:rPr>
        <w:t>the best Rx beam for the best Tx beam within Set B</w:t>
      </w:r>
      <w:r>
        <w:rPr>
          <w:rFonts w:hint="eastAsia" w:eastAsia="Batang"/>
          <w:bCs/>
          <w:sz w:val="20"/>
          <w:szCs w:val="20"/>
        </w:rPr>
        <w:t>; 2) a</w:t>
      </w:r>
      <w:r>
        <w:rPr>
          <w:rFonts w:eastAsia="Batang"/>
          <w:bCs/>
          <w:sz w:val="20"/>
          <w:szCs w:val="20"/>
        </w:rPr>
        <w:t>ssumption 2: the best Rx beam searched for one Tx beam within Set B</w:t>
      </w:r>
      <w:r>
        <w:rPr>
          <w:rFonts w:hint="eastAsia" w:eastAsia="Batang"/>
          <w:bCs/>
          <w:sz w:val="20"/>
          <w:szCs w:val="20"/>
        </w:rPr>
        <w:t>; 3) a</w:t>
      </w:r>
      <w:r>
        <w:rPr>
          <w:rFonts w:eastAsia="Batang"/>
          <w:bCs/>
          <w:sz w:val="20"/>
          <w:szCs w:val="20"/>
        </w:rPr>
        <w:t>ssumption 3:</w:t>
      </w:r>
      <w:r>
        <w:rPr>
          <w:rFonts w:eastAsia="Batang"/>
          <w:bCs/>
          <w:sz w:val="20"/>
          <w:szCs w:val="20"/>
          <w:lang w:val="en-GB" w:eastAsia="ko-KR"/>
        </w:rPr>
        <w:t xml:space="preserve"> </w:t>
      </w:r>
      <w:r>
        <w:rPr>
          <w:rFonts w:eastAsia="Batang"/>
          <w:bCs/>
          <w:sz w:val="20"/>
          <w:szCs w:val="20"/>
          <w:lang w:val="en-GB" w:eastAsia="en-US"/>
        </w:rPr>
        <w:t xml:space="preserve"> the best Rx beam for the best Tx beam within Set A</w:t>
      </w:r>
      <w:r>
        <w:rPr>
          <w:rFonts w:eastAsia="Batang"/>
          <w:bCs/>
          <w:sz w:val="20"/>
          <w:szCs w:val="20"/>
          <w:lang w:val="en-GB" w:eastAsia="ko-KR"/>
        </w:rPr>
        <w:t xml:space="preserve"> </w:t>
      </w:r>
      <w:r>
        <w:rPr>
          <w:rFonts w:eastAsia="Batang"/>
          <w:bCs/>
          <w:sz w:val="20"/>
          <w:szCs w:val="20"/>
        </w:rPr>
        <w:t>(named by the optimal</w:t>
      </w:r>
      <w:r>
        <w:rPr>
          <w:rFonts w:hint="eastAsia" w:eastAsia="Batang"/>
          <w:bCs/>
          <w:sz w:val="20"/>
          <w:szCs w:val="20"/>
        </w:rPr>
        <w:t xml:space="preserve"> </w:t>
      </w:r>
      <w:r>
        <w:rPr>
          <w:rFonts w:eastAsia="Batang"/>
          <w:bCs/>
          <w:sz w:val="20"/>
          <w:szCs w:val="20"/>
        </w:rPr>
        <w:t>Rx beam)</w:t>
      </w:r>
      <w:r>
        <w:rPr>
          <w:rFonts w:eastAsia="Batang"/>
          <w:bCs/>
          <w:sz w:val="20"/>
          <w:szCs w:val="20"/>
          <w:lang w:val="en-GB" w:eastAsia="ko-KR"/>
        </w:rPr>
        <w:t xml:space="preserve"> </w:t>
      </w:r>
      <w:r>
        <w:rPr>
          <w:rFonts w:hint="eastAsia"/>
          <w:bCs/>
          <w:sz w:val="20"/>
          <w:szCs w:val="20"/>
        </w:rPr>
        <w:t xml:space="preserve">; 4) </w:t>
      </w:r>
      <w:r>
        <w:rPr>
          <w:rFonts w:hint="eastAsia" w:eastAsia="Batang"/>
          <w:bCs/>
          <w:sz w:val="20"/>
          <w:szCs w:val="20"/>
        </w:rPr>
        <w:t>a</w:t>
      </w:r>
      <w:r>
        <w:rPr>
          <w:rFonts w:eastAsia="Batang"/>
          <w:bCs/>
          <w:sz w:val="20"/>
          <w:szCs w:val="20"/>
        </w:rPr>
        <w:t>ssumption 4:</w:t>
      </w:r>
      <w:r>
        <w:rPr>
          <w:rFonts w:eastAsia="Batang"/>
          <w:bCs/>
          <w:sz w:val="20"/>
          <w:szCs w:val="20"/>
          <w:lang w:val="en-GB" w:eastAsia="ko-KR"/>
        </w:rPr>
        <w:t xml:space="preserve"> a specific Rx beam (</w:t>
      </w:r>
      <w:r>
        <w:rPr>
          <w:rFonts w:hint="eastAsia"/>
          <w:bCs/>
          <w:sz w:val="20"/>
          <w:szCs w:val="20"/>
        </w:rPr>
        <w:t>e.g.</w:t>
      </w:r>
      <w:r>
        <w:rPr>
          <w:rFonts w:eastAsia="Batang"/>
          <w:bCs/>
          <w:sz w:val="20"/>
          <w:szCs w:val="20"/>
          <w:lang w:val="en-GB" w:eastAsia="ko-KR"/>
        </w:rPr>
        <w:t xml:space="preserve">, the first Rx beam </w:t>
      </w:r>
      <w:r>
        <w:rPr>
          <w:rFonts w:hint="eastAsia"/>
          <w:bCs/>
          <w:sz w:val="20"/>
          <w:szCs w:val="20"/>
        </w:rPr>
        <w:t xml:space="preserve">in the first UE panel </w:t>
      </w:r>
      <w:r>
        <w:rPr>
          <w:rFonts w:eastAsia="Batang"/>
          <w:bCs/>
          <w:sz w:val="20"/>
          <w:szCs w:val="20"/>
          <w:lang w:val="en-GB" w:eastAsia="ko-KR"/>
        </w:rPr>
        <w:t>by default unless otherwise mentioned)</w:t>
      </w:r>
      <w:r>
        <w:rPr>
          <w:rFonts w:hint="eastAsia"/>
          <w:bCs/>
          <w:sz w:val="20"/>
          <w:szCs w:val="20"/>
        </w:rPr>
        <w:t>.</w:t>
      </w:r>
      <w:r>
        <w:rPr>
          <w:rFonts w:eastAsia="Batang"/>
          <w:bCs/>
          <w:sz w:val="20"/>
          <w:szCs w:val="20"/>
        </w:rPr>
        <w:t xml:space="preserve"> </w:t>
      </w:r>
      <w:r>
        <w:rPr>
          <w:rFonts w:hint="eastAsia"/>
          <w:bCs/>
          <w:sz w:val="20"/>
          <w:szCs w:val="20"/>
        </w:rPr>
        <w:t>Besides, the best Rx beam for each Tx beam within Set B (i.e., Rx assumption 5) is also considered for performance comparison</w:t>
      </w:r>
      <w:r>
        <w:rPr>
          <w:rFonts w:hint="eastAsia"/>
          <w:bCs/>
          <w:sz w:val="20"/>
          <w:szCs w:val="20"/>
          <w:lang w:val="en-US" w:eastAsia="zh-CN"/>
        </w:rPr>
        <w:t>, where multiple Rx beams are used for one round of model inference</w:t>
      </w:r>
      <w:r>
        <w:rPr>
          <w:rFonts w:hint="eastAsia"/>
          <w:bCs/>
          <w:sz w:val="20"/>
          <w:szCs w:val="20"/>
        </w:rPr>
        <w:t>.</w:t>
      </w:r>
    </w:p>
    <w:p>
      <w:pPr>
        <w:pStyle w:val="35"/>
        <w:spacing w:before="72" w:after="72"/>
        <w:jc w:val="both"/>
        <w:rPr>
          <w:kern w:val="2"/>
          <w:sz w:val="20"/>
          <w:szCs w:val="20"/>
          <w:lang w:eastAsia="ko-KR"/>
        </w:rPr>
      </w:pPr>
      <w:r>
        <w:rPr>
          <w:rFonts w:hint="eastAsia"/>
          <w:kern w:val="2"/>
          <w:sz w:val="20"/>
          <w:szCs w:val="20"/>
        </w:rPr>
        <w:t xml:space="preserve">At least for evaluation on the performance of DL Tx beam prediction, </w:t>
      </w:r>
      <w:r>
        <w:rPr>
          <w:rFonts w:hint="eastAsia"/>
          <w:kern w:val="2"/>
          <w:sz w:val="20"/>
          <w:szCs w:val="20"/>
          <w:lang w:val="en-US"/>
        </w:rPr>
        <w:t xml:space="preserve">consider the following five </w:t>
      </w:r>
      <w:r>
        <w:rPr>
          <w:rFonts w:hint="eastAsia"/>
          <w:kern w:val="2"/>
          <w:sz w:val="20"/>
          <w:szCs w:val="20"/>
        </w:rPr>
        <w:t xml:space="preserve">Rx beam </w:t>
      </w:r>
      <w:r>
        <w:rPr>
          <w:rFonts w:hint="eastAsia"/>
          <w:kern w:val="2"/>
          <w:sz w:val="20"/>
          <w:szCs w:val="20"/>
          <w:lang w:val="en-US"/>
        </w:rPr>
        <w:t xml:space="preserve">assumptions </w:t>
      </w:r>
      <w:r>
        <w:rPr>
          <w:rFonts w:hint="eastAsia"/>
          <w:kern w:val="2"/>
          <w:sz w:val="20"/>
          <w:szCs w:val="20"/>
        </w:rPr>
        <w:t>for providing input for AI/ML model for training and/or inference</w:t>
      </w:r>
      <w:r>
        <w:rPr>
          <w:rFonts w:hint="eastAsia"/>
          <w:kern w:val="2"/>
          <w:sz w:val="20"/>
          <w:szCs w:val="20"/>
          <w:lang w:val="en-US"/>
        </w:rPr>
        <w:t>,</w:t>
      </w:r>
    </w:p>
    <w:p>
      <w:pPr>
        <w:pStyle w:val="118"/>
        <w:tabs>
          <w:tab w:val="left" w:pos="0"/>
          <w:tab w:val="left" w:pos="567"/>
          <w:tab w:val="left" w:pos="993"/>
        </w:tabs>
        <w:spacing w:before="72" w:after="72"/>
        <w:rPr>
          <w:rFonts w:eastAsia="Batang"/>
          <w:sz w:val="20"/>
          <w:szCs w:val="20"/>
        </w:rPr>
      </w:pPr>
      <w:r>
        <w:rPr>
          <w:rFonts w:hint="eastAsia" w:eastAsia="Batang"/>
          <w:sz w:val="20"/>
          <w:szCs w:val="20"/>
        </w:rPr>
        <w:t>Rx beam a</w:t>
      </w:r>
      <w:r>
        <w:rPr>
          <w:rFonts w:eastAsia="Batang"/>
          <w:sz w:val="20"/>
          <w:szCs w:val="20"/>
        </w:rPr>
        <w:t>ssumption 1:</w:t>
      </w:r>
      <w:r>
        <w:rPr>
          <w:rFonts w:eastAsia="Batang"/>
          <w:sz w:val="20"/>
          <w:szCs w:val="20"/>
          <w:lang w:val="en-GB" w:eastAsia="ko-KR"/>
        </w:rPr>
        <w:t xml:space="preserve"> </w:t>
      </w:r>
      <w:r>
        <w:rPr>
          <w:rFonts w:eastAsia="Batang"/>
          <w:sz w:val="20"/>
          <w:szCs w:val="20"/>
        </w:rPr>
        <w:t xml:space="preserve">the best Rx beam for the best Tx beam within Set B </w:t>
      </w:r>
    </w:p>
    <w:p>
      <w:pPr>
        <w:pStyle w:val="118"/>
        <w:tabs>
          <w:tab w:val="left" w:pos="0"/>
          <w:tab w:val="left" w:pos="567"/>
          <w:tab w:val="left" w:pos="993"/>
        </w:tabs>
        <w:spacing w:before="72" w:after="72"/>
        <w:rPr>
          <w:rFonts w:eastAsia="Batang"/>
          <w:sz w:val="20"/>
          <w:szCs w:val="20"/>
        </w:rPr>
      </w:pPr>
      <w:r>
        <w:rPr>
          <w:rFonts w:hint="eastAsia" w:eastAsia="Batang"/>
          <w:sz w:val="20"/>
          <w:szCs w:val="20"/>
        </w:rPr>
        <w:t>Rx beam a</w:t>
      </w:r>
      <w:r>
        <w:rPr>
          <w:rFonts w:eastAsia="Batang"/>
          <w:sz w:val="20"/>
          <w:szCs w:val="20"/>
        </w:rPr>
        <w:t>ssumption 2: the best Rx beam searched for one Tx beam within Set B</w:t>
      </w:r>
      <w:r>
        <w:rPr>
          <w:rFonts w:eastAsia="Batang"/>
          <w:sz w:val="20"/>
          <w:szCs w:val="20"/>
          <w:lang w:val="en-GB" w:eastAsia="ko-KR"/>
        </w:rPr>
        <w:t xml:space="preserve"> </w:t>
      </w:r>
    </w:p>
    <w:p>
      <w:pPr>
        <w:pStyle w:val="118"/>
        <w:tabs>
          <w:tab w:val="left" w:pos="0"/>
          <w:tab w:val="left" w:pos="567"/>
          <w:tab w:val="left" w:pos="993"/>
        </w:tabs>
        <w:spacing w:before="72" w:after="72"/>
        <w:rPr>
          <w:rFonts w:eastAsia="Batang"/>
          <w:sz w:val="20"/>
          <w:szCs w:val="20"/>
          <w:lang w:val="en-GB" w:eastAsia="ko-KR"/>
        </w:rPr>
      </w:pPr>
      <w:r>
        <w:rPr>
          <w:rFonts w:hint="eastAsia" w:eastAsia="Batang"/>
          <w:sz w:val="20"/>
          <w:szCs w:val="20"/>
        </w:rPr>
        <w:t>Rx beam a</w:t>
      </w:r>
      <w:r>
        <w:rPr>
          <w:rFonts w:eastAsia="Batang"/>
          <w:sz w:val="20"/>
          <w:szCs w:val="20"/>
        </w:rPr>
        <w:t>ssumption 3:</w:t>
      </w:r>
      <w:r>
        <w:rPr>
          <w:rFonts w:eastAsia="Batang"/>
          <w:sz w:val="20"/>
          <w:szCs w:val="20"/>
          <w:lang w:val="en-GB" w:eastAsia="ko-KR"/>
        </w:rPr>
        <w:t xml:space="preserve"> </w:t>
      </w:r>
      <w:r>
        <w:rPr>
          <w:rFonts w:eastAsia="Batang"/>
          <w:sz w:val="20"/>
          <w:szCs w:val="20"/>
          <w:lang w:val="en-GB" w:eastAsia="en-US"/>
        </w:rPr>
        <w:t xml:space="preserve"> the best Rx beam for the best Tx beam within Set A</w:t>
      </w:r>
      <w:r>
        <w:rPr>
          <w:rFonts w:eastAsia="Batang"/>
          <w:sz w:val="20"/>
          <w:szCs w:val="20"/>
          <w:lang w:val="en-GB" w:eastAsia="ko-KR"/>
        </w:rPr>
        <w:t xml:space="preserve"> </w:t>
      </w:r>
    </w:p>
    <w:p>
      <w:pPr>
        <w:pStyle w:val="118"/>
        <w:tabs>
          <w:tab w:val="left" w:pos="0"/>
          <w:tab w:val="left" w:pos="567"/>
          <w:tab w:val="left" w:pos="993"/>
        </w:tabs>
        <w:spacing w:before="72" w:after="72"/>
        <w:rPr>
          <w:rFonts w:eastAsia="Batang"/>
          <w:sz w:val="20"/>
          <w:szCs w:val="20"/>
        </w:rPr>
      </w:pPr>
      <w:r>
        <w:rPr>
          <w:rFonts w:hint="eastAsia" w:eastAsia="Batang"/>
          <w:sz w:val="20"/>
          <w:szCs w:val="20"/>
        </w:rPr>
        <w:t>Rx beam a</w:t>
      </w:r>
      <w:r>
        <w:rPr>
          <w:rFonts w:eastAsia="Batang"/>
          <w:sz w:val="20"/>
          <w:szCs w:val="20"/>
        </w:rPr>
        <w:t>ssumption 4:</w:t>
      </w:r>
      <w:r>
        <w:rPr>
          <w:rFonts w:eastAsia="Batang"/>
          <w:sz w:val="20"/>
          <w:szCs w:val="20"/>
          <w:lang w:val="en-GB" w:eastAsia="ko-KR"/>
        </w:rPr>
        <w:t xml:space="preserve"> a specific Rx beam (</w:t>
      </w:r>
      <w:r>
        <w:rPr>
          <w:rFonts w:hint="eastAsia" w:eastAsia="宋体"/>
          <w:sz w:val="20"/>
          <w:szCs w:val="20"/>
        </w:rPr>
        <w:t>e.g.</w:t>
      </w:r>
      <w:r>
        <w:rPr>
          <w:rFonts w:eastAsia="Batang"/>
          <w:sz w:val="20"/>
          <w:szCs w:val="20"/>
          <w:lang w:val="en-GB" w:eastAsia="ko-KR"/>
        </w:rPr>
        <w:t>, the first Rx beam</w:t>
      </w:r>
      <w:r>
        <w:rPr>
          <w:rFonts w:hint="eastAsia" w:eastAsia="宋体"/>
          <w:sz w:val="20"/>
          <w:szCs w:val="20"/>
        </w:rPr>
        <w:t xml:space="preserve"> in the first UE panel</w:t>
      </w:r>
      <w:r>
        <w:rPr>
          <w:rFonts w:eastAsia="Batang"/>
          <w:sz w:val="20"/>
          <w:szCs w:val="20"/>
          <w:lang w:val="en-GB" w:eastAsia="ko-KR"/>
        </w:rPr>
        <w:t xml:space="preserve">) </w:t>
      </w:r>
    </w:p>
    <w:p>
      <w:pPr>
        <w:pStyle w:val="118"/>
        <w:tabs>
          <w:tab w:val="left" w:pos="0"/>
          <w:tab w:val="left" w:pos="567"/>
          <w:tab w:val="left" w:pos="993"/>
        </w:tabs>
        <w:spacing w:before="72" w:after="72"/>
        <w:rPr>
          <w:rFonts w:eastAsia="Batang"/>
          <w:sz w:val="20"/>
          <w:szCs w:val="20"/>
        </w:rPr>
      </w:pPr>
      <w:r>
        <w:rPr>
          <w:rFonts w:hint="eastAsia" w:eastAsia="Batang"/>
          <w:sz w:val="20"/>
          <w:szCs w:val="20"/>
        </w:rPr>
        <w:t>Rx beam a</w:t>
      </w:r>
      <w:r>
        <w:rPr>
          <w:rFonts w:eastAsia="Batang"/>
          <w:sz w:val="20"/>
          <w:szCs w:val="20"/>
        </w:rPr>
        <w:t xml:space="preserve">ssumption </w:t>
      </w:r>
      <w:r>
        <w:rPr>
          <w:rFonts w:hint="eastAsia" w:eastAsia="宋体"/>
          <w:sz w:val="20"/>
          <w:szCs w:val="20"/>
        </w:rPr>
        <w:t>5</w:t>
      </w:r>
      <w:r>
        <w:rPr>
          <w:rFonts w:eastAsia="Batang"/>
          <w:sz w:val="20"/>
          <w:szCs w:val="20"/>
        </w:rPr>
        <w:t>:</w:t>
      </w:r>
      <w:r>
        <w:rPr>
          <w:rFonts w:eastAsia="Batang"/>
          <w:sz w:val="20"/>
          <w:szCs w:val="20"/>
          <w:lang w:val="en-GB" w:eastAsia="ko-KR"/>
        </w:rPr>
        <w:t xml:space="preserve"> </w:t>
      </w:r>
      <w:r>
        <w:rPr>
          <w:rFonts w:hint="eastAsia" w:eastAsia="宋体"/>
          <w:sz w:val="20"/>
          <w:szCs w:val="20"/>
        </w:rPr>
        <w:t>the best Rx beam for each Tx beam within Set B</w:t>
      </w:r>
      <w:r>
        <w:rPr>
          <w:rFonts w:eastAsia="Batang"/>
          <w:sz w:val="20"/>
          <w:szCs w:val="20"/>
          <w:lang w:val="en-GB" w:eastAsia="ko-KR"/>
        </w:rPr>
        <w:t xml:space="preserve"> </w:t>
      </w:r>
    </w:p>
    <w:p>
      <w:pPr>
        <w:pStyle w:val="4"/>
        <w:tabs>
          <w:tab w:val="clear" w:pos="720"/>
        </w:tabs>
        <w:spacing w:before="72" w:beforeLines="30" w:after="72" w:afterLines="30" w:line="288" w:lineRule="auto"/>
        <w:ind w:right="220" w:rightChars="100"/>
        <w:jc w:val="both"/>
        <w:rPr>
          <w:rFonts w:eastAsia="宋体"/>
          <w:sz w:val="22"/>
          <w:szCs w:val="22"/>
          <w:lang w:val="en-US"/>
        </w:rPr>
      </w:pPr>
      <w:r>
        <w:rPr>
          <w:rFonts w:hint="eastAsia" w:eastAsia="宋体"/>
          <w:b w:val="0"/>
          <w:bCs w:val="0"/>
          <w:kern w:val="2"/>
          <w:sz w:val="22"/>
          <w:szCs w:val="22"/>
          <w:lang w:val="en-US"/>
        </w:rPr>
        <w:t xml:space="preserve">Performance comparison with </w:t>
      </w:r>
      <w:r>
        <w:rPr>
          <w:rFonts w:eastAsia="宋体"/>
          <w:b w:val="0"/>
          <w:bCs w:val="0"/>
          <w:kern w:val="2"/>
          <w:sz w:val="22"/>
          <w:szCs w:val="22"/>
          <w:lang w:val="en-US"/>
        </w:rPr>
        <w:t>“</w:t>
      </w:r>
      <w:r>
        <w:rPr>
          <w:rFonts w:hint="eastAsia" w:eastAsia="宋体"/>
          <w:b w:val="0"/>
          <w:bCs w:val="0"/>
          <w:kern w:val="2"/>
          <w:sz w:val="22"/>
          <w:szCs w:val="22"/>
          <w:lang w:val="en-US"/>
        </w:rPr>
        <w:t>best</w:t>
      </w:r>
      <w:r>
        <w:rPr>
          <w:rFonts w:eastAsia="宋体"/>
          <w:b w:val="0"/>
          <w:bCs w:val="0"/>
          <w:kern w:val="2"/>
          <w:sz w:val="22"/>
          <w:szCs w:val="22"/>
          <w:lang w:val="en-US"/>
        </w:rPr>
        <w:t>”</w:t>
      </w:r>
      <w:r>
        <w:rPr>
          <w:rFonts w:hint="eastAsia" w:eastAsia="宋体"/>
          <w:b w:val="0"/>
          <w:bCs w:val="0"/>
          <w:kern w:val="2"/>
          <w:sz w:val="22"/>
          <w:szCs w:val="22"/>
          <w:lang w:val="en-US"/>
        </w:rPr>
        <w:t xml:space="preserve"> Rx beam assumptions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napToGrid w:val="0"/>
              <w:spacing w:before="72" w:beforeLines="30" w:after="72" w:afterLines="30" w:line="288" w:lineRule="auto"/>
              <w:rPr>
                <w:b/>
                <w:bCs/>
                <w:sz w:val="20"/>
                <w:szCs w:val="20"/>
                <w:u w:val="single"/>
              </w:rPr>
            </w:pPr>
            <w:r>
              <w:rPr>
                <w:b/>
                <w:bCs/>
                <w:sz w:val="20"/>
                <w:szCs w:val="20"/>
                <w:u w:val="single"/>
              </w:rPr>
              <w:t>Agreement:</w:t>
            </w:r>
          </w:p>
          <w:p>
            <w:pPr>
              <w:widowControl w:val="0"/>
              <w:snapToGrid w:val="0"/>
              <w:spacing w:before="72" w:beforeLines="30" w:after="72" w:afterLines="30" w:line="288" w:lineRule="auto"/>
              <w:rPr>
                <w:sz w:val="20"/>
                <w:szCs w:val="20"/>
              </w:rPr>
            </w:pPr>
            <w:r>
              <w:rPr>
                <w:sz w:val="20"/>
                <w:szCs w:val="20"/>
              </w:rPr>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At least the following options can be considered:</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eastAsia="en-US"/>
              </w:rPr>
            </w:pPr>
            <w:r>
              <w:rPr>
                <w:rFonts w:eastAsia="Batang"/>
                <w:sz w:val="20"/>
                <w:szCs w:val="20"/>
                <w:lang w:eastAsia="en-US"/>
              </w:rPr>
              <w:t>Opt A: Identify the quasi-optimal Rx beams to be utilized for measuring Set B/Set C based on the previous measurements.</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eastAsia="en-US"/>
              </w:rPr>
            </w:pPr>
            <w:r>
              <w:rPr>
                <w:rFonts w:eastAsia="Batang"/>
                <w:sz w:val="20"/>
                <w:szCs w:val="20"/>
                <w:lang w:eastAsia="en-US"/>
              </w:rPr>
              <w:t xml:space="preserve">Companies can report the time information and beam type (e.g., whether the same Tx beam(s) in Set B) of the reference signal to use. </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eastAsia="en-US"/>
              </w:rPr>
            </w:pPr>
            <w:r>
              <w:rPr>
                <w:rFonts w:eastAsia="Batang"/>
                <w:sz w:val="20"/>
                <w:szCs w:val="20"/>
                <w:lang w:eastAsia="en-US"/>
              </w:rPr>
              <w:t>Companies report how to find the quasi-optimal Rx beam with “previous measurement”</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eastAsia="en-US"/>
              </w:rPr>
            </w:pPr>
            <w:r>
              <w:rPr>
                <w:rFonts w:eastAsia="Batang"/>
                <w:sz w:val="20"/>
                <w:szCs w:val="20"/>
                <w:lang w:eastAsia="en-US"/>
              </w:rPr>
              <w:t>FFS: Opt B: The Rx beams for measuring Set B/Set C consist of the X% of “best” Rx beam exhaustive Rx beam sweeping and (1-X%) of random Rx beams [or the adjacent Rx beam to the “best” Rx beam].</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eastAsia="en-US"/>
              </w:rPr>
            </w:pPr>
            <w:r>
              <w:rPr>
                <w:rFonts w:eastAsia="Batang"/>
                <w:sz w:val="20"/>
                <w:szCs w:val="20"/>
                <w:lang w:eastAsia="en-US"/>
              </w:rPr>
              <w:t xml:space="preserve">X%= 80% or 90%, or other values reported by companies. </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eastAsia="en-US"/>
              </w:rPr>
            </w:pPr>
            <w:r>
              <w:rPr>
                <w:rFonts w:eastAsia="Batang"/>
                <w:sz w:val="20"/>
                <w:szCs w:val="20"/>
                <w:lang w:eastAsia="en-US"/>
              </w:rPr>
              <w:t xml:space="preserve">Note: X% is the percentage of measurements with “best” Rx beams out of all measurements   </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eastAsia="en-US"/>
              </w:rPr>
            </w:pPr>
            <w:r>
              <w:rPr>
                <w:rFonts w:eastAsia="Batang"/>
                <w:sz w:val="20"/>
                <w:szCs w:val="20"/>
                <w:lang w:eastAsia="en-US"/>
              </w:rPr>
              <w:t>Other options are not precluded.</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Times New Roman"/>
                <w:sz w:val="20"/>
                <w:szCs w:val="20"/>
              </w:rPr>
            </w:pPr>
            <w:r>
              <w:rPr>
                <w:rFonts w:eastAsia="Batang"/>
                <w:sz w:val="20"/>
                <w:szCs w:val="20"/>
                <w:lang w:eastAsia="en-US"/>
              </w:rPr>
              <w:t xml:space="preserve">Companies report the measurement/RS overhead together with beam prediction accuracy. </w:t>
            </w:r>
          </w:p>
        </w:tc>
      </w:tr>
    </w:tbl>
    <w:p>
      <w:pPr>
        <w:widowControl w:val="0"/>
        <w:snapToGrid w:val="0"/>
        <w:spacing w:before="72" w:beforeLines="30" w:after="72" w:afterLines="30" w:line="288" w:lineRule="auto"/>
        <w:jc w:val="both"/>
        <w:rPr>
          <w:sz w:val="20"/>
          <w:szCs w:val="20"/>
        </w:rPr>
      </w:pPr>
      <w:r>
        <w:rPr>
          <w:rFonts w:hint="eastAsia" w:eastAsia="Times New Roman"/>
          <w:sz w:val="20"/>
          <w:szCs w:val="20"/>
        </w:rPr>
        <w:t xml:space="preserve">To evaluate the performance of DL Tx beam prediction with different </w:t>
      </w:r>
      <w:r>
        <w:rPr>
          <w:sz w:val="20"/>
          <w:szCs w:val="20"/>
        </w:rPr>
        <w:t>“</w:t>
      </w:r>
      <w:r>
        <w:rPr>
          <w:rFonts w:hint="eastAsia"/>
          <w:sz w:val="20"/>
          <w:szCs w:val="20"/>
        </w:rPr>
        <w:t>best</w:t>
      </w:r>
      <w:r>
        <w:rPr>
          <w:sz w:val="20"/>
          <w:szCs w:val="20"/>
        </w:rPr>
        <w:t>”</w:t>
      </w:r>
      <w:r>
        <w:rPr>
          <w:rFonts w:hint="eastAsia"/>
          <w:sz w:val="20"/>
          <w:szCs w:val="20"/>
        </w:rPr>
        <w:t xml:space="preserve"> </w:t>
      </w:r>
      <w:r>
        <w:rPr>
          <w:rFonts w:hint="eastAsia" w:eastAsia="Times New Roman"/>
          <w:sz w:val="20"/>
          <w:szCs w:val="20"/>
        </w:rPr>
        <w:t xml:space="preserve">Rx beam assumptions, </w:t>
      </w:r>
      <w:r>
        <w:rPr>
          <w:rFonts w:hint="eastAsia"/>
          <w:sz w:val="20"/>
          <w:szCs w:val="20"/>
        </w:rPr>
        <w:t>the following six cases of best Rx beam and quasi-optimal beam are considered.</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sz w:val="20"/>
          <w:szCs w:val="20"/>
        </w:rPr>
        <w:t>Case 1-2-</w:t>
      </w:r>
      <w:r>
        <w:rPr>
          <w:rFonts w:hint="eastAsia"/>
          <w:sz w:val="20"/>
          <w:szCs w:val="20"/>
        </w:rPr>
        <w:t>1</w:t>
      </w:r>
      <w:r>
        <w:rPr>
          <w:rFonts w:hint="eastAsia" w:eastAsia="Times New Roman"/>
          <w:sz w:val="20"/>
          <w:szCs w:val="20"/>
        </w:rPr>
        <w:t xml:space="preserve">: </w:t>
      </w:r>
      <w:r>
        <w:rPr>
          <w:sz w:val="20"/>
          <w:szCs w:val="20"/>
          <w:lang w:eastAsia="en-US"/>
        </w:rPr>
        <w:t xml:space="preserve">Measurements of the best Rx beam </w:t>
      </w:r>
      <w:r>
        <w:rPr>
          <w:sz w:val="20"/>
          <w:szCs w:val="20"/>
          <w:lang w:val="en-GB" w:eastAsia="en-US"/>
        </w:rPr>
        <w:t>for the best Tx beam within Set B</w:t>
      </w:r>
      <w:r>
        <w:rPr>
          <w:rFonts w:hint="eastAsia"/>
          <w:sz w:val="20"/>
          <w:szCs w:val="20"/>
        </w:rPr>
        <w:t xml:space="preserve"> (i.e., Rx beam </w:t>
      </w:r>
      <w:r>
        <w:rPr>
          <w:rFonts w:hint="eastAsia" w:eastAsia="Times New Roman"/>
          <w:sz w:val="20"/>
          <w:szCs w:val="20"/>
        </w:rPr>
        <w:t xml:space="preserve">assumption 1).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sz w:val="20"/>
          <w:szCs w:val="20"/>
        </w:rPr>
        <w:t xml:space="preserve">Case 1-2-2: </w:t>
      </w:r>
      <w:r>
        <w:rPr>
          <w:rFonts w:hint="eastAsia" w:eastAsia="Times New Roman"/>
          <w:sz w:val="20"/>
          <w:szCs w:val="20"/>
          <w:lang w:eastAsia="en-US"/>
        </w:rPr>
        <w:t xml:space="preserve">Measurements of the best Rx beam </w:t>
      </w:r>
      <w:r>
        <w:rPr>
          <w:rFonts w:hint="eastAsia" w:eastAsia="Times New Roman"/>
          <w:sz w:val="20"/>
          <w:szCs w:val="20"/>
          <w:lang w:val="en-GB" w:eastAsia="en-US"/>
        </w:rPr>
        <w:t>searched for one Tx beam within Set B</w:t>
      </w:r>
      <w:r>
        <w:rPr>
          <w:rFonts w:hint="eastAsia" w:eastAsia="Times New Roman"/>
          <w:sz w:val="20"/>
          <w:szCs w:val="20"/>
        </w:rPr>
        <w:t xml:space="preserve"> (i.e., Rx beam assumption 2).</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sz w:val="20"/>
          <w:szCs w:val="20"/>
        </w:rPr>
        <w:t xml:space="preserve">Case 1-2-3: </w:t>
      </w:r>
      <w:r>
        <w:rPr>
          <w:rFonts w:hint="eastAsia" w:eastAsia="Times New Roman"/>
          <w:sz w:val="20"/>
          <w:szCs w:val="20"/>
          <w:lang w:eastAsia="en-US"/>
        </w:rPr>
        <w:t xml:space="preserve">Measurements of the </w:t>
      </w:r>
      <w:r>
        <w:rPr>
          <w:rFonts w:hint="eastAsia" w:eastAsia="Times New Roman"/>
          <w:sz w:val="20"/>
          <w:szCs w:val="20"/>
          <w:lang w:val="en-GB"/>
        </w:rPr>
        <w:t>best</w:t>
      </w:r>
      <w:r>
        <w:rPr>
          <w:rFonts w:hint="eastAsia" w:eastAsia="Times New Roman"/>
          <w:sz w:val="20"/>
          <w:szCs w:val="20"/>
        </w:rPr>
        <w:t xml:space="preserve"> </w:t>
      </w:r>
      <w:r>
        <w:rPr>
          <w:rFonts w:hint="eastAsia" w:eastAsia="Times New Roman"/>
          <w:sz w:val="20"/>
          <w:szCs w:val="20"/>
          <w:lang w:eastAsia="en-US"/>
        </w:rPr>
        <w:t>Rx beam</w:t>
      </w:r>
      <w:r>
        <w:rPr>
          <w:rFonts w:hint="eastAsia" w:eastAsia="Times New Roman"/>
          <w:sz w:val="20"/>
          <w:szCs w:val="20"/>
        </w:rPr>
        <w:t xml:space="preserve"> </w:t>
      </w:r>
      <w:r>
        <w:rPr>
          <w:rFonts w:eastAsia="Batang"/>
          <w:sz w:val="20"/>
          <w:szCs w:val="20"/>
          <w:lang w:val="en-GB" w:eastAsia="en-US"/>
        </w:rPr>
        <w:t>for the best Tx beam within Set A</w:t>
      </w:r>
      <w:r>
        <w:rPr>
          <w:rFonts w:hint="eastAsia"/>
          <w:sz w:val="20"/>
          <w:szCs w:val="20"/>
        </w:rPr>
        <w:t xml:space="preserve"> </w:t>
      </w:r>
      <w:r>
        <w:rPr>
          <w:rFonts w:hint="eastAsia" w:eastAsia="Times New Roman"/>
          <w:sz w:val="20"/>
          <w:szCs w:val="20"/>
        </w:rPr>
        <w:t xml:space="preserve">(i.e., Rx beam assumption 3).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sz w:val="20"/>
          <w:szCs w:val="20"/>
        </w:rPr>
        <w:t>Case 1-2-</w:t>
      </w:r>
      <w:r>
        <w:rPr>
          <w:rFonts w:hint="eastAsia"/>
          <w:sz w:val="20"/>
          <w:szCs w:val="20"/>
        </w:rPr>
        <w:t>4</w:t>
      </w:r>
      <w:r>
        <w:rPr>
          <w:rFonts w:hint="eastAsia" w:eastAsia="Times New Roman"/>
          <w:sz w:val="20"/>
          <w:szCs w:val="20"/>
        </w:rPr>
        <w:t xml:space="preserve">: </w:t>
      </w:r>
      <w:r>
        <w:rPr>
          <w:rFonts w:hint="eastAsia" w:eastAsia="Times New Roman"/>
          <w:sz w:val="20"/>
          <w:szCs w:val="20"/>
          <w:lang w:eastAsia="en-US"/>
        </w:rPr>
        <w:t xml:space="preserve">Measurements of the </w:t>
      </w:r>
      <w:r>
        <w:rPr>
          <w:sz w:val="20"/>
          <w:szCs w:val="20"/>
        </w:rPr>
        <w:t>quasi-optimal</w:t>
      </w:r>
      <w:r>
        <w:rPr>
          <w:rFonts w:hint="eastAsia" w:eastAsia="Times New Roman"/>
          <w:sz w:val="20"/>
          <w:szCs w:val="20"/>
        </w:rPr>
        <w:t xml:space="preserve"> </w:t>
      </w:r>
      <w:r>
        <w:rPr>
          <w:rFonts w:hint="eastAsia" w:eastAsia="Times New Roman"/>
          <w:sz w:val="20"/>
          <w:szCs w:val="20"/>
          <w:lang w:eastAsia="en-US"/>
        </w:rPr>
        <w:t>Rx beam</w:t>
      </w:r>
      <w:r>
        <w:rPr>
          <w:rFonts w:eastAsia="Batang"/>
          <w:sz w:val="20"/>
          <w:szCs w:val="20"/>
          <w:lang w:eastAsia="en-US"/>
        </w:rPr>
        <w:t xml:space="preserve"> </w:t>
      </w:r>
      <w:r>
        <w:rPr>
          <w:rFonts w:hint="eastAsia"/>
          <w:sz w:val="20"/>
          <w:szCs w:val="20"/>
        </w:rPr>
        <w:t xml:space="preserve">which consists </w:t>
      </w:r>
      <w:r>
        <w:rPr>
          <w:rFonts w:eastAsia="Batang"/>
          <w:sz w:val="20"/>
          <w:szCs w:val="20"/>
          <w:lang w:eastAsia="en-US"/>
        </w:rPr>
        <w:t xml:space="preserve">of </w:t>
      </w:r>
      <w:r>
        <w:rPr>
          <w:rFonts w:hint="eastAsia"/>
          <w:sz w:val="20"/>
          <w:szCs w:val="20"/>
        </w:rPr>
        <w:t>80</w:t>
      </w:r>
      <w:r>
        <w:rPr>
          <w:rFonts w:eastAsia="Batang"/>
          <w:sz w:val="20"/>
          <w:szCs w:val="20"/>
          <w:lang w:eastAsia="en-US"/>
        </w:rPr>
        <w:t xml:space="preserve">% of “best” Rx beam </w:t>
      </w:r>
      <w:r>
        <w:rPr>
          <w:rFonts w:hint="eastAsia"/>
          <w:sz w:val="20"/>
          <w:szCs w:val="20"/>
        </w:rPr>
        <w:t xml:space="preserve">by </w:t>
      </w:r>
      <w:r>
        <w:rPr>
          <w:rFonts w:eastAsia="Batang"/>
          <w:sz w:val="20"/>
          <w:szCs w:val="20"/>
          <w:lang w:eastAsia="en-US"/>
        </w:rPr>
        <w:t xml:space="preserve">exhaustive Rx beam sweeping and </w:t>
      </w:r>
      <w:r>
        <w:rPr>
          <w:rFonts w:hint="eastAsia"/>
          <w:sz w:val="20"/>
          <w:szCs w:val="20"/>
        </w:rPr>
        <w:t>20%</w:t>
      </w:r>
      <w:r>
        <w:rPr>
          <w:rFonts w:eastAsia="Batang"/>
          <w:sz w:val="20"/>
          <w:szCs w:val="20"/>
          <w:lang w:eastAsia="en-US"/>
        </w:rPr>
        <w:t xml:space="preserve"> of random Rx beams</w:t>
      </w:r>
      <w:r>
        <w:rPr>
          <w:rFonts w:hint="eastAsia"/>
          <w:sz w:val="20"/>
          <w:szCs w:val="20"/>
        </w:rPr>
        <w:t xml:space="preserve"> (i.e., Opt B)</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sz w:val="20"/>
          <w:szCs w:val="20"/>
        </w:rPr>
        <w:t>Case 1-2-</w:t>
      </w:r>
      <w:r>
        <w:rPr>
          <w:rFonts w:hint="eastAsia"/>
          <w:sz w:val="20"/>
          <w:szCs w:val="20"/>
        </w:rPr>
        <w:t>5</w:t>
      </w:r>
      <w:r>
        <w:rPr>
          <w:rFonts w:hint="eastAsia" w:eastAsia="Times New Roman"/>
          <w:sz w:val="20"/>
          <w:szCs w:val="20"/>
        </w:rPr>
        <w:t xml:space="preserve">: </w:t>
      </w:r>
      <w:r>
        <w:rPr>
          <w:rFonts w:hint="eastAsia" w:eastAsia="Times New Roman"/>
          <w:sz w:val="20"/>
          <w:szCs w:val="20"/>
          <w:lang w:eastAsia="en-US"/>
        </w:rPr>
        <w:t xml:space="preserve">Measurements of the </w:t>
      </w:r>
      <w:r>
        <w:rPr>
          <w:sz w:val="20"/>
          <w:szCs w:val="20"/>
        </w:rPr>
        <w:t>quasi-optimal</w:t>
      </w:r>
      <w:r>
        <w:rPr>
          <w:rFonts w:hint="eastAsia" w:eastAsia="Times New Roman"/>
          <w:sz w:val="20"/>
          <w:szCs w:val="20"/>
        </w:rPr>
        <w:t xml:space="preserve"> </w:t>
      </w:r>
      <w:r>
        <w:rPr>
          <w:rFonts w:hint="eastAsia" w:eastAsia="Times New Roman"/>
          <w:sz w:val="20"/>
          <w:szCs w:val="20"/>
          <w:lang w:eastAsia="en-US"/>
        </w:rPr>
        <w:t>Rx beam</w:t>
      </w:r>
      <w:r>
        <w:rPr>
          <w:rFonts w:eastAsia="Batang"/>
          <w:sz w:val="20"/>
          <w:szCs w:val="20"/>
          <w:lang w:eastAsia="en-US"/>
        </w:rPr>
        <w:t xml:space="preserve"> </w:t>
      </w:r>
      <w:r>
        <w:rPr>
          <w:rFonts w:hint="eastAsia"/>
          <w:sz w:val="20"/>
          <w:szCs w:val="20"/>
        </w:rPr>
        <w:t xml:space="preserve">which consists </w:t>
      </w:r>
      <w:r>
        <w:rPr>
          <w:rFonts w:eastAsia="Batang"/>
          <w:sz w:val="20"/>
          <w:szCs w:val="20"/>
          <w:lang w:eastAsia="en-US"/>
        </w:rPr>
        <w:t xml:space="preserve">of </w:t>
      </w:r>
      <w:r>
        <w:rPr>
          <w:rFonts w:hint="eastAsia"/>
          <w:sz w:val="20"/>
          <w:szCs w:val="20"/>
        </w:rPr>
        <w:t>90</w:t>
      </w:r>
      <w:r>
        <w:rPr>
          <w:rFonts w:eastAsia="Batang"/>
          <w:sz w:val="20"/>
          <w:szCs w:val="20"/>
          <w:lang w:eastAsia="en-US"/>
        </w:rPr>
        <w:t xml:space="preserve">% of “best” Rx beam </w:t>
      </w:r>
      <w:r>
        <w:rPr>
          <w:rFonts w:hint="eastAsia"/>
          <w:sz w:val="20"/>
          <w:szCs w:val="20"/>
        </w:rPr>
        <w:t xml:space="preserve">by </w:t>
      </w:r>
      <w:r>
        <w:rPr>
          <w:rFonts w:eastAsia="Batang"/>
          <w:sz w:val="20"/>
          <w:szCs w:val="20"/>
          <w:lang w:eastAsia="en-US"/>
        </w:rPr>
        <w:t xml:space="preserve">exhaustive Rx beam sweeping and </w:t>
      </w:r>
      <w:r>
        <w:rPr>
          <w:rFonts w:hint="eastAsia"/>
          <w:sz w:val="20"/>
          <w:szCs w:val="20"/>
        </w:rPr>
        <w:t>10%</w:t>
      </w:r>
      <w:r>
        <w:rPr>
          <w:rFonts w:eastAsia="Batang"/>
          <w:sz w:val="20"/>
          <w:szCs w:val="20"/>
          <w:lang w:eastAsia="en-US"/>
        </w:rPr>
        <w:t xml:space="preserve"> of random Rx beams</w:t>
      </w:r>
      <w:r>
        <w:rPr>
          <w:rFonts w:hint="eastAsia"/>
          <w:sz w:val="20"/>
          <w:szCs w:val="20"/>
        </w:rPr>
        <w:t xml:space="preserve"> (i.e., Opt B)</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sz w:val="20"/>
          <w:szCs w:val="20"/>
        </w:rPr>
        <w:t xml:space="preserve">Case 1-2-6: </w:t>
      </w:r>
      <w:r>
        <w:rPr>
          <w:rFonts w:hint="eastAsia" w:eastAsia="Times New Roman"/>
          <w:sz w:val="20"/>
          <w:szCs w:val="20"/>
          <w:lang w:eastAsia="en-US"/>
        </w:rPr>
        <w:t xml:space="preserve">Measurements of the best Rx beam </w:t>
      </w:r>
      <w:r>
        <w:rPr>
          <w:rFonts w:hint="eastAsia" w:eastAsia="Times New Roman"/>
          <w:sz w:val="20"/>
          <w:szCs w:val="20"/>
          <w:lang w:val="en-GB" w:eastAsia="en-US"/>
        </w:rPr>
        <w:t xml:space="preserve">for the best </w:t>
      </w:r>
      <w:r>
        <w:rPr>
          <w:rFonts w:hint="eastAsia" w:eastAsia="Times New Roman"/>
          <w:sz w:val="20"/>
          <w:szCs w:val="20"/>
        </w:rPr>
        <w:t xml:space="preserve">Rx </w:t>
      </w:r>
      <w:r>
        <w:rPr>
          <w:rFonts w:hint="eastAsia" w:eastAsia="Times New Roman"/>
          <w:sz w:val="20"/>
          <w:szCs w:val="20"/>
          <w:lang w:val="en-GB" w:eastAsia="en-US"/>
        </w:rPr>
        <w:t xml:space="preserve">beam </w:t>
      </w:r>
      <w:r>
        <w:rPr>
          <w:rFonts w:hint="eastAsia" w:eastAsia="Times New Roman"/>
          <w:sz w:val="20"/>
          <w:szCs w:val="20"/>
        </w:rPr>
        <w:t xml:space="preserve">for each Tx beam </w:t>
      </w:r>
      <w:r>
        <w:rPr>
          <w:rFonts w:hint="eastAsia" w:eastAsia="Times New Roman"/>
          <w:sz w:val="20"/>
          <w:szCs w:val="20"/>
          <w:lang w:val="en-GB" w:eastAsia="en-US"/>
        </w:rPr>
        <w:t>within Set B</w:t>
      </w:r>
      <w:r>
        <w:rPr>
          <w:rFonts w:hint="eastAsia" w:eastAsia="Times New Roman"/>
          <w:sz w:val="20"/>
          <w:szCs w:val="20"/>
        </w:rPr>
        <w:t xml:space="preserve"> (i.e., Rx beam assumption </w:t>
      </w:r>
      <w:r>
        <w:rPr>
          <w:rFonts w:hint="eastAsia"/>
          <w:sz w:val="20"/>
          <w:szCs w:val="20"/>
        </w:rPr>
        <w:t>5</w:t>
      </w:r>
      <w:r>
        <w:rPr>
          <w:rFonts w:hint="eastAsia" w:eastAsia="Times New Roman"/>
          <w:sz w:val="20"/>
          <w:szCs w:val="20"/>
        </w:rPr>
        <w:t>).</w:t>
      </w:r>
    </w:p>
    <w:p>
      <w:pPr>
        <w:snapToGrid w:val="0"/>
        <w:spacing w:before="72" w:beforeLines="30" w:after="72" w:afterLines="30" w:line="288" w:lineRule="auto"/>
        <w:jc w:val="both"/>
        <w:rPr>
          <w:sz w:val="20"/>
          <w:szCs w:val="20"/>
        </w:rPr>
      </w:pPr>
      <w:r>
        <w:rPr>
          <w:rFonts w:hint="eastAsia"/>
          <w:sz w:val="20"/>
          <w:szCs w:val="20"/>
        </w:rPr>
        <w:t xml:space="preserve">Detailed simulation results of </w:t>
      </w:r>
      <w:r>
        <w:rPr>
          <w:rFonts w:hint="eastAsia"/>
          <w:sz w:val="20"/>
          <w:szCs w:val="20"/>
          <w:lang w:val="en-US" w:eastAsia="zh-CN"/>
        </w:rPr>
        <w:t>the above six cases</w:t>
      </w:r>
      <w:r>
        <w:rPr>
          <w:rFonts w:hint="eastAsia"/>
          <w:sz w:val="20"/>
          <w:szCs w:val="20"/>
        </w:rPr>
        <w:t xml:space="preserve"> are provided in the result collection excel [1]. Some of</w:t>
      </w:r>
      <w:r>
        <w:rPr>
          <w:rFonts w:hint="eastAsia" w:eastAsia="Times New Roman"/>
          <w:sz w:val="20"/>
          <w:szCs w:val="20"/>
        </w:rPr>
        <w:t xml:space="preserve"> the simulation results </w:t>
      </w:r>
      <w:r>
        <w:rPr>
          <w:rFonts w:hint="eastAsia"/>
          <w:sz w:val="20"/>
          <w:szCs w:val="20"/>
        </w:rPr>
        <w:t>are also provided in</w:t>
      </w:r>
      <w:r>
        <w:rPr>
          <w:rFonts w:hint="eastAsia" w:eastAsia="Times New Roman"/>
          <w:sz w:val="20"/>
          <w:szCs w:val="20"/>
        </w:rPr>
        <w:t xml:space="preserve"> Table </w:t>
      </w:r>
      <w:r>
        <w:rPr>
          <w:rFonts w:hint="eastAsia"/>
          <w:sz w:val="20"/>
          <w:szCs w:val="20"/>
        </w:rPr>
        <w:t>III for reference. Accordingly,</w:t>
      </w:r>
      <w:r>
        <w:rPr>
          <w:rFonts w:hint="eastAsia" w:eastAsia="Times New Roman"/>
          <w:sz w:val="20"/>
          <w:szCs w:val="20"/>
        </w:rPr>
        <w:t xml:space="preserve"> </w:t>
      </w:r>
      <w:r>
        <w:rPr>
          <w:rFonts w:hint="eastAsia"/>
          <w:sz w:val="20"/>
          <w:szCs w:val="20"/>
        </w:rPr>
        <w:t>the best</w:t>
      </w:r>
      <w:r>
        <w:rPr>
          <w:rFonts w:hint="eastAsia" w:eastAsia="Times New Roman"/>
          <w:sz w:val="20"/>
          <w:szCs w:val="20"/>
        </w:rPr>
        <w:t xml:space="preserve"> performance of DL Tx beam prediction can be achieved by measurements of the best Rx beam</w:t>
      </w:r>
      <w:r>
        <w:rPr>
          <w:rFonts w:hint="eastAsia"/>
          <w:sz w:val="20"/>
          <w:szCs w:val="20"/>
        </w:rPr>
        <w:t xml:space="preserve"> </w:t>
      </w:r>
      <w:r>
        <w:rPr>
          <w:sz w:val="20"/>
          <w:szCs w:val="20"/>
          <w:lang w:val="en-GB" w:eastAsia="en-US"/>
        </w:rPr>
        <w:t xml:space="preserve">for the best Tx beam within Set </w:t>
      </w:r>
      <w:r>
        <w:rPr>
          <w:rFonts w:hint="eastAsia"/>
          <w:sz w:val="20"/>
          <w:szCs w:val="20"/>
        </w:rPr>
        <w:t>A</w:t>
      </w:r>
      <w:r>
        <w:rPr>
          <w:rFonts w:hint="eastAsia" w:eastAsia="Times New Roman"/>
          <w:sz w:val="20"/>
          <w:szCs w:val="20"/>
        </w:rPr>
        <w:t xml:space="preserve"> (i.e., </w:t>
      </w:r>
      <w:r>
        <w:rPr>
          <w:rFonts w:hint="eastAsia"/>
          <w:sz w:val="20"/>
          <w:szCs w:val="20"/>
        </w:rPr>
        <w:t>C</w:t>
      </w:r>
      <w:r>
        <w:rPr>
          <w:rFonts w:hint="eastAsia" w:eastAsia="Times New Roman"/>
          <w:sz w:val="20"/>
          <w:szCs w:val="20"/>
        </w:rPr>
        <w:t>ase 1-2-</w:t>
      </w:r>
      <w:r>
        <w:rPr>
          <w:rFonts w:hint="eastAsia"/>
          <w:sz w:val="20"/>
          <w:szCs w:val="20"/>
        </w:rPr>
        <w:t>3</w:t>
      </w:r>
      <w:r>
        <w:rPr>
          <w:rFonts w:hint="eastAsia" w:eastAsia="Times New Roman"/>
          <w:sz w:val="20"/>
          <w:szCs w:val="20"/>
        </w:rPr>
        <w:t>)</w:t>
      </w:r>
      <w:r>
        <w:rPr>
          <w:rFonts w:hint="eastAsia"/>
          <w:sz w:val="20"/>
          <w:szCs w:val="20"/>
        </w:rPr>
        <w:t>, which is apparently an upper bound on beam prediction performance. Compared with C</w:t>
      </w:r>
      <w:r>
        <w:rPr>
          <w:rFonts w:hint="eastAsia" w:eastAsia="Times New Roman"/>
          <w:sz w:val="20"/>
          <w:szCs w:val="20"/>
        </w:rPr>
        <w:t>ase 1-2-</w:t>
      </w:r>
      <w:r>
        <w:rPr>
          <w:rFonts w:hint="eastAsia"/>
          <w:sz w:val="20"/>
          <w:szCs w:val="20"/>
        </w:rPr>
        <w:t>3 that the best Rx beam is used, there is a performance loss due to the adoption of quasi-optimal Rx beam in C</w:t>
      </w:r>
      <w:r>
        <w:rPr>
          <w:rFonts w:hint="eastAsia" w:eastAsia="Times New Roman"/>
          <w:sz w:val="20"/>
          <w:szCs w:val="20"/>
        </w:rPr>
        <w:t>ase 1-2-</w:t>
      </w:r>
      <w:r>
        <w:rPr>
          <w:rFonts w:hint="eastAsia"/>
          <w:sz w:val="20"/>
          <w:szCs w:val="20"/>
        </w:rPr>
        <w:t>4 and C</w:t>
      </w:r>
      <w:r>
        <w:rPr>
          <w:rFonts w:hint="eastAsia" w:eastAsia="Times New Roman"/>
          <w:sz w:val="20"/>
          <w:szCs w:val="20"/>
        </w:rPr>
        <w:t>ase 1-2-</w:t>
      </w:r>
      <w:r>
        <w:rPr>
          <w:rFonts w:hint="eastAsia"/>
          <w:sz w:val="20"/>
          <w:szCs w:val="20"/>
        </w:rPr>
        <w:t>5. Besides, C</w:t>
      </w:r>
      <w:r>
        <w:rPr>
          <w:rFonts w:hint="eastAsia" w:eastAsia="Times New Roman"/>
          <w:sz w:val="20"/>
          <w:szCs w:val="20"/>
        </w:rPr>
        <w:t>ase 1-2-</w:t>
      </w:r>
      <w:r>
        <w:rPr>
          <w:rFonts w:hint="eastAsia"/>
          <w:sz w:val="20"/>
          <w:szCs w:val="20"/>
        </w:rPr>
        <w:t>1 and C</w:t>
      </w:r>
      <w:r>
        <w:rPr>
          <w:rFonts w:hint="eastAsia" w:eastAsia="Times New Roman"/>
          <w:sz w:val="20"/>
          <w:szCs w:val="20"/>
        </w:rPr>
        <w:t>ase 1-2-</w:t>
      </w:r>
      <w:r>
        <w:rPr>
          <w:rFonts w:hint="eastAsia"/>
          <w:sz w:val="20"/>
          <w:szCs w:val="20"/>
        </w:rPr>
        <w:t>6 outperform Case 1-2-2 in terms of beam prediction accuracy</w:t>
      </w:r>
      <w:r>
        <w:rPr>
          <w:sz w:val="20"/>
          <w:szCs w:val="20"/>
        </w:rPr>
        <w:t xml:space="preserve"> due to</w:t>
      </w:r>
      <w:r>
        <w:rPr>
          <w:rFonts w:hint="eastAsia"/>
          <w:sz w:val="20"/>
          <w:szCs w:val="20"/>
        </w:rPr>
        <w:t xml:space="preserve"> more RS resource overhead for beam sweeping.</w:t>
      </w:r>
    </w:p>
    <w:p>
      <w:pPr>
        <w:jc w:val="center"/>
        <w:rPr>
          <w:rFonts w:eastAsia="Batang"/>
          <w:sz w:val="20"/>
          <w:szCs w:val="20"/>
          <w:lang w:eastAsia="en-US"/>
        </w:rPr>
      </w:pPr>
      <w:r>
        <w:rPr>
          <w:rFonts w:hint="eastAsia" w:eastAsia="Times New Roman"/>
          <w:sz w:val="20"/>
          <w:szCs w:val="20"/>
        </w:rPr>
        <w:t xml:space="preserve">Table </w:t>
      </w:r>
      <w:r>
        <w:rPr>
          <w:rFonts w:hint="eastAsia"/>
          <w:sz w:val="20"/>
          <w:szCs w:val="20"/>
        </w:rPr>
        <w:t>III</w:t>
      </w:r>
      <w:r>
        <w:rPr>
          <w:rFonts w:eastAsia="Batang"/>
          <w:sz w:val="20"/>
          <w:szCs w:val="20"/>
          <w:lang w:eastAsia="en-US"/>
        </w:rPr>
        <w:t xml:space="preserve">. Evaluation results for BM-Case1 without </w:t>
      </w:r>
      <w:r>
        <w:rPr>
          <w:rFonts w:hint="eastAsia"/>
          <w:sz w:val="20"/>
          <w:szCs w:val="20"/>
          <w:lang w:eastAsia="zh-CN"/>
        </w:rPr>
        <w:t xml:space="preserve">AI/ML model </w:t>
      </w:r>
      <w:r>
        <w:rPr>
          <w:rFonts w:eastAsia="Batang"/>
          <w:sz w:val="20"/>
          <w:szCs w:val="20"/>
          <w:lang w:eastAsia="en-US"/>
        </w:rPr>
        <w:t>generalization for DL Tx beam prediction</w:t>
      </w:r>
    </w:p>
    <w:tbl>
      <w:tblPr>
        <w:tblStyle w:val="24"/>
        <w:tblW w:w="4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3"/>
        <w:gridCol w:w="1024"/>
        <w:gridCol w:w="1038"/>
        <w:gridCol w:w="1077"/>
        <w:gridCol w:w="951"/>
        <w:gridCol w:w="1001"/>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Align w:val="center"/>
          </w:tcPr>
          <w:p>
            <w:pPr>
              <w:widowControl w:val="0"/>
              <w:snapToGrid w:val="0"/>
              <w:spacing w:before="72" w:beforeLines="30" w:after="72" w:afterLines="30" w:line="288" w:lineRule="auto"/>
              <w:contextualSpacing/>
              <w:jc w:val="center"/>
              <w:rPr>
                <w:sz w:val="20"/>
                <w:szCs w:val="20"/>
              </w:rPr>
            </w:pPr>
            <w:r>
              <w:rPr>
                <w:sz w:val="20"/>
                <w:szCs w:val="20"/>
              </w:rPr>
              <w:t>Cases</w:t>
            </w: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Non-AI/AI</w:t>
            </w:r>
          </w:p>
        </w:tc>
        <w:tc>
          <w:tcPr>
            <w:tcW w:w="677"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03"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621"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53"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Top-5 beams</w:t>
            </w:r>
          </w:p>
        </w:tc>
        <w:tc>
          <w:tcPr>
            <w:tcW w:w="793" w:type="pct"/>
            <w:tcBorders>
              <w:lef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restart"/>
            <w:vAlign w:val="center"/>
          </w:tcPr>
          <w:p>
            <w:pPr>
              <w:widowControl w:val="0"/>
              <w:snapToGrid w:val="0"/>
              <w:spacing w:before="72" w:beforeLines="30" w:after="72" w:afterLines="30" w:line="288" w:lineRule="auto"/>
              <w:contextualSpacing/>
              <w:jc w:val="center"/>
              <w:rPr>
                <w:sz w:val="20"/>
                <w:szCs w:val="20"/>
              </w:rPr>
            </w:pPr>
            <w:r>
              <w:rPr>
                <w:sz w:val="20"/>
                <w:szCs w:val="20"/>
              </w:rPr>
              <w:t>Case 1-2-1</w:t>
            </w: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Non-AI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3.113            40.26 %        25.64 %        25.64 %         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1.269            85.16%         76.38%         92.06%          0.492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restart"/>
            <w:vAlign w:val="center"/>
          </w:tcPr>
          <w:p>
            <w:pPr>
              <w:widowControl w:val="0"/>
              <w:snapToGrid w:val="0"/>
              <w:spacing w:before="72" w:beforeLines="30" w:after="72" w:afterLines="30" w:line="288" w:lineRule="auto"/>
              <w:contextualSpacing/>
              <w:jc w:val="center"/>
              <w:rPr>
                <w:bCs/>
                <w:sz w:val="20"/>
                <w:szCs w:val="20"/>
              </w:rPr>
            </w:pPr>
            <w:r>
              <w:rPr>
                <w:sz w:val="20"/>
                <w:szCs w:val="20"/>
              </w:rPr>
              <w:t>Case 1-2-2</w:t>
            </w:r>
          </w:p>
        </w:tc>
        <w:tc>
          <w:tcPr>
            <w:tcW w:w="668"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5.777            29.72%         24.80 %       24.80 %          5.383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68"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 xml:space="preserve">4.117            62.30%         54.06%        75.26%           3.078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1-2-3</w:t>
            </w:r>
          </w:p>
          <w:p>
            <w:pPr>
              <w:widowControl w:val="0"/>
              <w:snapToGrid w:val="0"/>
              <w:spacing w:before="72" w:beforeLines="30" w:after="72" w:afterLines="30" w:line="288" w:lineRule="auto"/>
              <w:contextualSpacing/>
              <w:jc w:val="center"/>
              <w:rPr>
                <w:sz w:val="20"/>
                <w:szCs w:val="20"/>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Non-AI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 xml:space="preserve">2.429     </w:t>
            </w:r>
            <w:r>
              <w:rPr>
                <w:rFonts w:hint="eastAsia"/>
                <w:sz w:val="20"/>
                <w:szCs w:val="20"/>
              </w:rPr>
              <w:t xml:space="preserve">   </w:t>
            </w:r>
            <w:r>
              <w:rPr>
                <w:sz w:val="20"/>
                <w:szCs w:val="20"/>
              </w:rPr>
              <w:t xml:space="preserve">   40.11 %         24.53 %       24.53 %       </w:t>
            </w:r>
            <w:r>
              <w:rPr>
                <w:rFonts w:hint="eastAsia"/>
                <w:sz w:val="20"/>
                <w:szCs w:val="20"/>
              </w:rPr>
              <w:t xml:space="preserve">  </w:t>
            </w:r>
            <w:r>
              <w:rPr>
                <w:sz w:val="20"/>
                <w:szCs w:val="20"/>
              </w:rPr>
              <w:t xml:space="preserve"> 2.417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continue"/>
            <w:vAlign w:val="center"/>
          </w:tcPr>
          <w:p>
            <w:pPr>
              <w:widowControl w:val="0"/>
              <w:snapToGrid w:val="0"/>
              <w:spacing w:before="72" w:beforeLines="30" w:after="72" w:afterLines="30" w:line="288" w:lineRule="auto"/>
              <w:contextualSpacing/>
              <w:jc w:val="center"/>
              <w:rPr>
                <w:sz w:val="20"/>
                <w:szCs w:val="20"/>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 xml:space="preserve">0.047      </w:t>
            </w:r>
            <w:r>
              <w:rPr>
                <w:rFonts w:hint="eastAsia"/>
                <w:sz w:val="20"/>
                <w:szCs w:val="20"/>
              </w:rPr>
              <w:t xml:space="preserve">   </w:t>
            </w:r>
            <w:r>
              <w:rPr>
                <w:sz w:val="20"/>
                <w:szCs w:val="20"/>
              </w:rPr>
              <w:t xml:space="preserve">  99.14 %      </w:t>
            </w:r>
            <w:r>
              <w:rPr>
                <w:rFonts w:hint="eastAsia"/>
                <w:sz w:val="20"/>
                <w:szCs w:val="20"/>
              </w:rPr>
              <w:t xml:space="preserve"> </w:t>
            </w:r>
            <w:r>
              <w:rPr>
                <w:sz w:val="20"/>
                <w:szCs w:val="20"/>
              </w:rPr>
              <w:t xml:space="preserve">  91.41 %       99.85 %      </w:t>
            </w:r>
            <w:r>
              <w:rPr>
                <w:rFonts w:hint="eastAsia"/>
                <w:sz w:val="20"/>
                <w:szCs w:val="20"/>
              </w:rPr>
              <w:t xml:space="preserve">  </w:t>
            </w:r>
            <w:r>
              <w:rPr>
                <w:sz w:val="20"/>
                <w:szCs w:val="20"/>
              </w:rPr>
              <w:t xml:space="preserve">  0.138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restart"/>
            <w:vAlign w:val="center"/>
          </w:tcPr>
          <w:p>
            <w:pPr>
              <w:widowControl w:val="0"/>
              <w:snapToGrid w:val="0"/>
              <w:spacing w:before="72" w:beforeLines="30" w:after="72" w:afterLines="30" w:line="288" w:lineRule="auto"/>
              <w:contextualSpacing/>
              <w:jc w:val="center"/>
              <w:rPr>
                <w:bCs/>
                <w:sz w:val="20"/>
                <w:szCs w:val="20"/>
              </w:rPr>
            </w:pPr>
            <w:r>
              <w:rPr>
                <w:sz w:val="20"/>
                <w:szCs w:val="20"/>
              </w:rPr>
              <w:t>Case 1-2-4</w:t>
            </w:r>
          </w:p>
          <w:p>
            <w:pPr>
              <w:widowControl w:val="0"/>
              <w:snapToGrid w:val="0"/>
              <w:spacing w:before="72" w:beforeLines="30" w:after="72" w:afterLines="30" w:line="288" w:lineRule="auto"/>
              <w:contextualSpacing/>
              <w:jc w:val="center"/>
              <w:rPr>
                <w:bCs/>
                <w:sz w:val="20"/>
                <w:szCs w:val="20"/>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Non-AI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3.230          35.06%           22.32%          24.04%         3.318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1.116          81.06%           69.22%          91.82%         0.588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restart"/>
            <w:vAlign w:val="center"/>
          </w:tcPr>
          <w:p>
            <w:pPr>
              <w:widowControl w:val="0"/>
              <w:snapToGrid w:val="0"/>
              <w:spacing w:before="72" w:beforeLines="30" w:after="72" w:afterLines="30" w:line="288" w:lineRule="auto"/>
              <w:contextualSpacing/>
              <w:jc w:val="center"/>
              <w:rPr>
                <w:bCs/>
                <w:sz w:val="20"/>
                <w:szCs w:val="20"/>
              </w:rPr>
            </w:pPr>
            <w:r>
              <w:rPr>
                <w:sz w:val="20"/>
                <w:szCs w:val="20"/>
              </w:rPr>
              <w:t>Case 1-2-5</w:t>
            </w:r>
          </w:p>
          <w:p>
            <w:pPr>
              <w:widowControl w:val="0"/>
              <w:snapToGrid w:val="0"/>
              <w:spacing w:before="72" w:beforeLines="30" w:after="72" w:afterLines="30" w:line="288" w:lineRule="auto"/>
              <w:contextualSpacing/>
              <w:jc w:val="center"/>
              <w:rPr>
                <w:bCs/>
                <w:sz w:val="20"/>
                <w:szCs w:val="20"/>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Non-AI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2.872         37.70%           23.84%           24.80%         2.911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0.561         90.16%           80.20%           95.58%         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restart"/>
            <w:vAlign w:val="center"/>
          </w:tcPr>
          <w:p>
            <w:pPr>
              <w:widowControl w:val="0"/>
              <w:snapToGrid w:val="0"/>
              <w:spacing w:before="72" w:beforeLines="30" w:after="72" w:afterLines="30" w:line="288" w:lineRule="auto"/>
              <w:contextualSpacing/>
              <w:jc w:val="center"/>
              <w:rPr>
                <w:bCs/>
                <w:sz w:val="20"/>
                <w:szCs w:val="20"/>
              </w:rPr>
            </w:pPr>
            <w:r>
              <w:rPr>
                <w:sz w:val="20"/>
                <w:szCs w:val="20"/>
              </w:rPr>
              <w:t>Case 1-2-6</w:t>
            </w:r>
          </w:p>
          <w:p>
            <w:pPr>
              <w:widowControl w:val="0"/>
              <w:snapToGrid w:val="0"/>
              <w:spacing w:before="72" w:beforeLines="30" w:after="72" w:afterLines="30" w:line="288" w:lineRule="auto"/>
              <w:contextualSpacing/>
              <w:jc w:val="center"/>
              <w:rPr>
                <w:bCs/>
                <w:sz w:val="20"/>
                <w:szCs w:val="20"/>
                <w:lang w:eastAsia="en-US"/>
              </w:rPr>
            </w:pPr>
          </w:p>
          <w:p>
            <w:pPr>
              <w:widowControl w:val="0"/>
              <w:snapToGrid w:val="0"/>
              <w:spacing w:before="72" w:beforeLines="30" w:after="72" w:afterLines="30" w:line="288" w:lineRule="auto"/>
              <w:contextualSpacing/>
              <w:jc w:val="center"/>
              <w:rPr>
                <w:bCs/>
                <w:sz w:val="20"/>
                <w:szCs w:val="20"/>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Non-AI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3.113          40.26%          25.64%          25.64%          2.120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68" w:type="pct"/>
            <w:vAlign w:val="center"/>
          </w:tcPr>
          <w:p>
            <w:pPr>
              <w:widowControl w:val="0"/>
              <w:snapToGrid w:val="0"/>
              <w:spacing w:before="72" w:beforeLines="30" w:after="72" w:afterLines="30" w:line="288" w:lineRule="auto"/>
              <w:contextualSpacing/>
              <w:jc w:val="center"/>
              <w:rPr>
                <w:sz w:val="20"/>
                <w:szCs w:val="20"/>
              </w:rPr>
            </w:pPr>
            <w:r>
              <w:rPr>
                <w:sz w:val="20"/>
                <w:szCs w:val="20"/>
              </w:rPr>
              <w:t>AI</w:t>
            </w:r>
          </w:p>
        </w:tc>
        <w:tc>
          <w:tcPr>
            <w:tcW w:w="3449"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sz w:val="20"/>
                <w:szCs w:val="20"/>
              </w:rPr>
              <w:t xml:space="preserve">0.479          92.80%          81.16%         98.96%           0.242 </w:t>
            </w:r>
          </w:p>
        </w:tc>
      </w:tr>
    </w:tbl>
    <w:p>
      <w:pPr>
        <w:pStyle w:val="117"/>
        <w:spacing w:before="72" w:after="72"/>
        <w:jc w:val="both"/>
        <w:rPr>
          <w:kern w:val="2"/>
          <w:sz w:val="20"/>
          <w:szCs w:val="20"/>
        </w:rPr>
      </w:pPr>
      <w:r>
        <w:rPr>
          <w:rFonts w:hint="eastAsia"/>
          <w:kern w:val="2"/>
          <w:sz w:val="20"/>
          <w:szCs w:val="20"/>
        </w:rPr>
        <w:t xml:space="preserve">For DL Tx beam prediction, </w:t>
      </w:r>
      <w:r>
        <w:rPr>
          <w:rFonts w:hint="eastAsia"/>
          <w:kern w:val="2"/>
          <w:sz w:val="20"/>
          <w:szCs w:val="20"/>
          <w:lang w:val="en-US" w:eastAsia="zh-CN"/>
        </w:rPr>
        <w:t>compared with the Rx beam assumption that the best Rx beam searched for one Tx beam within Set B is used, a better beam prediction performance is achieved if the best Rx beam for the best Tx beam within Set B is used for measurement.</w:t>
      </w:r>
    </w:p>
    <w:p>
      <w:pPr>
        <w:pStyle w:val="117"/>
        <w:spacing w:before="72" w:after="72"/>
        <w:jc w:val="both"/>
        <w:rPr>
          <w:kern w:val="2"/>
          <w:sz w:val="20"/>
          <w:szCs w:val="20"/>
        </w:rPr>
      </w:pPr>
      <w:r>
        <w:rPr>
          <w:rFonts w:hint="eastAsia"/>
          <w:kern w:val="2"/>
          <w:sz w:val="20"/>
          <w:szCs w:val="20"/>
          <w:lang w:val="en-US" w:eastAsia="zh-CN"/>
        </w:rPr>
        <w:t>Among all Rx beam assumptions for Tx beam prediction, the best</w:t>
      </w:r>
      <w:r>
        <w:rPr>
          <w:rFonts w:hint="eastAsia"/>
          <w:kern w:val="2"/>
          <w:sz w:val="20"/>
          <w:szCs w:val="20"/>
        </w:rPr>
        <w:t xml:space="preserve"> performance</w:t>
      </w:r>
      <w:r>
        <w:rPr>
          <w:rFonts w:hint="eastAsia"/>
          <w:kern w:val="2"/>
          <w:sz w:val="20"/>
          <w:szCs w:val="20"/>
          <w:lang w:val="en-US" w:eastAsia="zh-CN"/>
        </w:rPr>
        <w:t xml:space="preserve"> </w:t>
      </w:r>
      <w:r>
        <w:rPr>
          <w:rFonts w:hint="eastAsia"/>
          <w:kern w:val="2"/>
          <w:sz w:val="20"/>
          <w:szCs w:val="20"/>
        </w:rPr>
        <w:t xml:space="preserve">can be achieved by measurements of the best Rx beam for the best Tx beam within Set </w:t>
      </w:r>
      <w:r>
        <w:rPr>
          <w:rFonts w:hint="eastAsia"/>
          <w:kern w:val="2"/>
          <w:sz w:val="20"/>
          <w:szCs w:val="20"/>
          <w:lang w:val="en-US" w:eastAsia="zh-CN"/>
        </w:rPr>
        <w:t>A</w:t>
      </w:r>
      <w:r>
        <w:rPr>
          <w:rFonts w:hint="eastAsia"/>
          <w:kern w:val="2"/>
          <w:sz w:val="20"/>
          <w:szCs w:val="20"/>
        </w:rPr>
        <w:t xml:space="preserve"> (i.e., Case 1-2-</w:t>
      </w:r>
      <w:r>
        <w:rPr>
          <w:rFonts w:hint="eastAsia"/>
          <w:kern w:val="2"/>
          <w:sz w:val="20"/>
          <w:szCs w:val="20"/>
          <w:lang w:val="en-US" w:eastAsia="zh-CN"/>
        </w:rPr>
        <w:t>3</w:t>
      </w:r>
      <w:r>
        <w:rPr>
          <w:rFonts w:hint="eastAsia"/>
          <w:kern w:val="2"/>
          <w:sz w:val="20"/>
          <w:szCs w:val="20"/>
        </w:rPr>
        <w:t>)</w:t>
      </w:r>
      <w:r>
        <w:rPr>
          <w:rFonts w:hint="eastAsia"/>
          <w:kern w:val="2"/>
          <w:sz w:val="20"/>
          <w:szCs w:val="20"/>
          <w:lang w:val="en-US" w:eastAsia="zh-CN"/>
        </w:rPr>
        <w:t xml:space="preserve">, which </w:t>
      </w:r>
      <w:r>
        <w:rPr>
          <w:kern w:val="2"/>
          <w:sz w:val="20"/>
          <w:szCs w:val="20"/>
          <w:lang w:val="en-US" w:eastAsia="zh-CN"/>
        </w:rPr>
        <w:t>can be</w:t>
      </w:r>
      <w:r>
        <w:rPr>
          <w:rFonts w:hint="eastAsia"/>
          <w:kern w:val="2"/>
          <w:sz w:val="20"/>
          <w:szCs w:val="20"/>
          <w:lang w:val="en-US" w:eastAsia="zh-CN"/>
        </w:rPr>
        <w:t xml:space="preserve"> an upper bound on </w:t>
      </w:r>
      <w:r>
        <w:rPr>
          <w:kern w:val="2"/>
          <w:sz w:val="20"/>
          <w:szCs w:val="20"/>
          <w:lang w:val="en-US" w:eastAsia="zh-CN"/>
        </w:rPr>
        <w:t xml:space="preserve">DL Tx </w:t>
      </w:r>
      <w:r>
        <w:rPr>
          <w:rFonts w:hint="eastAsia"/>
          <w:kern w:val="2"/>
          <w:sz w:val="20"/>
          <w:szCs w:val="20"/>
          <w:lang w:val="en-US" w:eastAsia="zh-CN"/>
        </w:rPr>
        <w:t>beam prediction performance</w:t>
      </w:r>
      <w:r>
        <w:rPr>
          <w:rFonts w:hint="eastAsia"/>
          <w:kern w:val="2"/>
          <w:sz w:val="20"/>
          <w:szCs w:val="20"/>
        </w:rPr>
        <w:t>.</w:t>
      </w:r>
    </w:p>
    <w:p>
      <w:pPr>
        <w:pStyle w:val="117"/>
        <w:spacing w:before="72" w:after="72"/>
        <w:jc w:val="both"/>
        <w:rPr>
          <w:kern w:val="2"/>
          <w:sz w:val="20"/>
          <w:szCs w:val="20"/>
        </w:rPr>
      </w:pPr>
      <w:r>
        <w:rPr>
          <w:rFonts w:hint="eastAsia"/>
          <w:kern w:val="2"/>
          <w:sz w:val="20"/>
          <w:szCs w:val="20"/>
          <w:lang w:val="en-US" w:eastAsia="zh-CN"/>
        </w:rPr>
        <w:t xml:space="preserve">The </w:t>
      </w:r>
      <w:r>
        <w:rPr>
          <w:kern w:val="2"/>
          <w:sz w:val="20"/>
          <w:szCs w:val="20"/>
          <w:lang w:val="en-US" w:eastAsia="zh-CN"/>
        </w:rPr>
        <w:t xml:space="preserve">realistic determination of </w:t>
      </w:r>
      <w:r>
        <w:rPr>
          <w:rFonts w:hint="eastAsia"/>
          <w:kern w:val="2"/>
          <w:sz w:val="20"/>
          <w:szCs w:val="20"/>
          <w:lang w:val="en-US" w:eastAsia="zh-CN"/>
        </w:rPr>
        <w:t xml:space="preserve">quasi-optimal </w:t>
      </w:r>
      <w:r>
        <w:rPr>
          <w:kern w:val="2"/>
          <w:sz w:val="20"/>
          <w:szCs w:val="20"/>
          <w:lang w:val="en-US" w:eastAsia="zh-CN"/>
        </w:rPr>
        <w:t>Rx beam</w:t>
      </w:r>
      <w:r>
        <w:rPr>
          <w:rFonts w:hint="eastAsia"/>
          <w:kern w:val="2"/>
          <w:sz w:val="20"/>
          <w:szCs w:val="20"/>
          <w:lang w:val="en-US" w:eastAsia="zh-CN"/>
        </w:rPr>
        <w:t xml:space="preserve"> causes a significant performance loss compared with that of the best Rx beam assumption, where </w:t>
      </w:r>
      <w:r>
        <w:rPr>
          <w:rFonts w:hint="eastAsia"/>
          <w:kern w:val="2"/>
          <w:sz w:val="20"/>
          <w:szCs w:val="20"/>
        </w:rPr>
        <w:t xml:space="preserve">the </w:t>
      </w:r>
      <w:r>
        <w:rPr>
          <w:kern w:val="2"/>
          <w:sz w:val="20"/>
          <w:szCs w:val="20"/>
        </w:rPr>
        <w:t>quasi-optimal</w:t>
      </w:r>
      <w:r>
        <w:rPr>
          <w:rFonts w:hint="eastAsia"/>
          <w:kern w:val="2"/>
          <w:sz w:val="20"/>
          <w:szCs w:val="20"/>
        </w:rPr>
        <w:t xml:space="preserve"> Rx beam</w:t>
      </w:r>
      <w:r>
        <w:rPr>
          <w:kern w:val="2"/>
          <w:sz w:val="20"/>
          <w:szCs w:val="20"/>
          <w:lang w:val="en-US"/>
        </w:rPr>
        <w:t xml:space="preserve"> </w:t>
      </w:r>
      <w:r>
        <w:rPr>
          <w:rFonts w:hint="eastAsia"/>
          <w:kern w:val="2"/>
          <w:sz w:val="20"/>
          <w:szCs w:val="20"/>
          <w:lang w:val="en-US" w:eastAsia="zh-CN"/>
        </w:rPr>
        <w:t xml:space="preserve">consists </w:t>
      </w:r>
      <w:r>
        <w:rPr>
          <w:kern w:val="2"/>
          <w:sz w:val="20"/>
          <w:szCs w:val="20"/>
          <w:lang w:val="en-US"/>
        </w:rPr>
        <w:t xml:space="preserve">of </w:t>
      </w:r>
      <w:r>
        <w:rPr>
          <w:rFonts w:hint="eastAsia"/>
          <w:kern w:val="2"/>
          <w:sz w:val="20"/>
          <w:szCs w:val="20"/>
          <w:lang w:val="en-US" w:eastAsia="zh-CN"/>
        </w:rPr>
        <w:t>X</w:t>
      </w:r>
      <w:r>
        <w:rPr>
          <w:kern w:val="2"/>
          <w:sz w:val="20"/>
          <w:szCs w:val="20"/>
          <w:lang w:val="en-US"/>
        </w:rPr>
        <w:t xml:space="preserve">% </w:t>
      </w:r>
      <w:r>
        <w:rPr>
          <w:rFonts w:hint="eastAsia"/>
          <w:kern w:val="2"/>
          <w:sz w:val="20"/>
          <w:szCs w:val="20"/>
          <w:lang w:val="en-US" w:eastAsia="zh-CN"/>
        </w:rPr>
        <w:t xml:space="preserve">(X=80 or 90) </w:t>
      </w:r>
      <w:r>
        <w:rPr>
          <w:kern w:val="2"/>
          <w:sz w:val="20"/>
          <w:szCs w:val="20"/>
          <w:lang w:val="en-US"/>
        </w:rPr>
        <w:t xml:space="preserve">of “best” Rx beam </w:t>
      </w:r>
      <w:r>
        <w:rPr>
          <w:rFonts w:hint="eastAsia"/>
          <w:kern w:val="2"/>
          <w:sz w:val="20"/>
          <w:szCs w:val="20"/>
          <w:lang w:val="en-US" w:eastAsia="zh-CN"/>
        </w:rPr>
        <w:t xml:space="preserve">by </w:t>
      </w:r>
      <w:r>
        <w:rPr>
          <w:kern w:val="2"/>
          <w:sz w:val="20"/>
          <w:szCs w:val="20"/>
          <w:lang w:val="en-US"/>
        </w:rPr>
        <w:t xml:space="preserve">exhaustive Rx beam sweeping and </w:t>
      </w:r>
      <w:r>
        <w:rPr>
          <w:rFonts w:hint="eastAsia"/>
          <w:kern w:val="2"/>
          <w:sz w:val="20"/>
          <w:szCs w:val="20"/>
          <w:lang w:val="en-US" w:eastAsia="zh-CN"/>
        </w:rPr>
        <w:t>(1-X)</w:t>
      </w:r>
      <w:r>
        <w:rPr>
          <w:kern w:val="2"/>
          <w:sz w:val="20"/>
          <w:szCs w:val="20"/>
          <w:lang w:val="en-US" w:eastAsia="zh-CN"/>
        </w:rPr>
        <w:t xml:space="preserve"> </w:t>
      </w:r>
      <w:r>
        <w:rPr>
          <w:rFonts w:hint="eastAsia"/>
          <w:kern w:val="2"/>
          <w:sz w:val="20"/>
          <w:szCs w:val="20"/>
          <w:lang w:val="en-US" w:eastAsia="zh-CN"/>
        </w:rPr>
        <w:t>%</w:t>
      </w:r>
      <w:r>
        <w:rPr>
          <w:kern w:val="2"/>
          <w:sz w:val="20"/>
          <w:szCs w:val="20"/>
          <w:lang w:val="en-US"/>
        </w:rPr>
        <w:t xml:space="preserve"> of random Rx beams</w:t>
      </w:r>
      <w:r>
        <w:rPr>
          <w:rFonts w:hint="eastAsia"/>
          <w:kern w:val="2"/>
          <w:sz w:val="20"/>
          <w:szCs w:val="20"/>
          <w:lang w:val="en-US" w:eastAsia="zh-CN"/>
        </w:rPr>
        <w:t>.</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Performance comparison with specific Rx beam assumptions</w:t>
      </w:r>
    </w:p>
    <w:p>
      <w:pPr>
        <w:widowControl w:val="0"/>
        <w:snapToGrid w:val="0"/>
        <w:spacing w:before="72" w:beforeLines="30" w:after="72" w:afterLines="30" w:line="288" w:lineRule="auto"/>
        <w:jc w:val="both"/>
        <w:rPr>
          <w:bCs/>
          <w:sz w:val="21"/>
          <w:szCs w:val="21"/>
        </w:rPr>
      </w:pPr>
      <w:r>
        <w:rPr>
          <w:rFonts w:hint="eastAsia"/>
          <w:sz w:val="20"/>
          <w:szCs w:val="20"/>
        </w:rPr>
        <w:t>In this sub section</w:t>
      </w:r>
      <w:r>
        <w:rPr>
          <w:rFonts w:hint="eastAsia" w:eastAsia="Times New Roman"/>
          <w:sz w:val="20"/>
          <w:szCs w:val="20"/>
        </w:rPr>
        <w:t xml:space="preserve">, </w:t>
      </w:r>
      <w:r>
        <w:rPr>
          <w:rFonts w:hint="eastAsia"/>
          <w:sz w:val="20"/>
          <w:szCs w:val="20"/>
        </w:rPr>
        <w:t xml:space="preserve">three </w:t>
      </w:r>
      <w:r>
        <w:rPr>
          <w:rFonts w:hint="eastAsia" w:eastAsia="Times New Roman"/>
          <w:sz w:val="20"/>
          <w:szCs w:val="20"/>
        </w:rPr>
        <w:t xml:space="preserve">sub cases of &lt;T16 R1&gt; are considered for comparison. In particular, 16 </w:t>
      </w:r>
      <w:r>
        <w:rPr>
          <w:rFonts w:hint="eastAsia" w:eastAsia="Times New Roman"/>
          <w:sz w:val="20"/>
          <w:szCs w:val="20"/>
          <w:lang w:val="en-GB"/>
        </w:rPr>
        <w:t>beams</w:t>
      </w:r>
      <w:r>
        <w:rPr>
          <w:rFonts w:hint="eastAsia" w:eastAsia="Times New Roman"/>
          <w:sz w:val="20"/>
          <w:szCs w:val="20"/>
        </w:rPr>
        <w:t xml:space="preserve"> </w:t>
      </w:r>
      <w:r>
        <w:rPr>
          <w:rFonts w:hint="eastAsia" w:eastAsia="Times New Roman"/>
          <w:sz w:val="20"/>
          <w:szCs w:val="20"/>
          <w:lang w:val="en-GB"/>
        </w:rPr>
        <w:t>picked out of 64</w:t>
      </w:r>
      <w:r>
        <w:rPr>
          <w:rFonts w:hint="eastAsia" w:eastAsia="Times New Roman"/>
          <w:sz w:val="20"/>
          <w:szCs w:val="20"/>
        </w:rPr>
        <w:t xml:space="preserve"> </w:t>
      </w:r>
      <w:r>
        <w:rPr>
          <w:rFonts w:hint="eastAsia" w:eastAsia="Times New Roman"/>
          <w:sz w:val="20"/>
          <w:szCs w:val="20"/>
          <w:lang w:val="en-GB"/>
        </w:rPr>
        <w:t>Tx beams</w:t>
      </w:r>
      <w:r>
        <w:rPr>
          <w:rFonts w:hint="eastAsia" w:eastAsia="Times New Roman"/>
          <w:sz w:val="20"/>
          <w:szCs w:val="20"/>
        </w:rPr>
        <w:t xml:space="preserve"> by uniform sampling </w:t>
      </w:r>
      <w:r>
        <w:rPr>
          <w:rFonts w:hint="eastAsia" w:eastAsia="Times New Roman"/>
          <w:sz w:val="20"/>
          <w:szCs w:val="20"/>
          <w:lang w:val="en-GB"/>
        </w:rPr>
        <w:t>are transmitted by the gNB</w:t>
      </w:r>
      <w:r>
        <w:rPr>
          <w:rFonts w:hint="eastAsia" w:eastAsia="Times New Roman"/>
          <w:sz w:val="20"/>
          <w:szCs w:val="20"/>
        </w:rPr>
        <w:t xml:space="preserve"> and measured by one Rx beam that is fixed (i.e., </w:t>
      </w:r>
      <w:r>
        <w:rPr>
          <w:rFonts w:hint="eastAsia"/>
          <w:sz w:val="20"/>
          <w:szCs w:val="20"/>
        </w:rPr>
        <w:t xml:space="preserve">Rx beam assumption 4, </w:t>
      </w:r>
      <w:r>
        <w:rPr>
          <w:rFonts w:hint="eastAsia" w:eastAsia="Times New Roman"/>
          <w:sz w:val="20"/>
          <w:szCs w:val="20"/>
        </w:rPr>
        <w:t xml:space="preserve">a specific Rx beam per </w:t>
      </w:r>
      <w:r>
        <w:rPr>
          <w:rFonts w:hint="eastAsia"/>
          <w:sz w:val="20"/>
          <w:szCs w:val="20"/>
          <w:lang w:val="en-US" w:eastAsia="zh-CN"/>
        </w:rPr>
        <w:t xml:space="preserve">AI/ML </w:t>
      </w:r>
      <w:r>
        <w:rPr>
          <w:rFonts w:hint="eastAsia" w:eastAsia="Times New Roman"/>
          <w:sz w:val="20"/>
          <w:szCs w:val="20"/>
        </w:rPr>
        <w:t xml:space="preserve">model input sample or for all </w:t>
      </w:r>
      <w:r>
        <w:rPr>
          <w:rFonts w:hint="eastAsia"/>
          <w:sz w:val="20"/>
          <w:szCs w:val="20"/>
          <w:lang w:val="en-US" w:eastAsia="zh-CN"/>
        </w:rPr>
        <w:t xml:space="preserve">AI/ML </w:t>
      </w:r>
      <w:r>
        <w:rPr>
          <w:rFonts w:hint="eastAsia" w:eastAsia="Times New Roman"/>
          <w:sz w:val="20"/>
          <w:szCs w:val="20"/>
        </w:rPr>
        <w:t xml:space="preserve">model input sample) during the beam measurement procedure.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Case 1-2-</w:t>
      </w:r>
      <w:r>
        <w:rPr>
          <w:rFonts w:hint="eastAsia"/>
          <w:b/>
          <w:bCs/>
          <w:sz w:val="20"/>
          <w:szCs w:val="20"/>
        </w:rPr>
        <w:t>7</w:t>
      </w:r>
      <w:r>
        <w:rPr>
          <w:rFonts w:hint="eastAsia" w:eastAsia="Times New Roman"/>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(i.e., Rx beam assumption 4) </w:t>
      </w:r>
      <w:r>
        <w:rPr>
          <w:sz w:val="20"/>
          <w:szCs w:val="20"/>
          <w:lang w:eastAsia="en-US"/>
        </w:rPr>
        <w:t xml:space="preserve">per </w:t>
      </w:r>
      <w:r>
        <w:rPr>
          <w:rFonts w:hint="eastAsia"/>
          <w:sz w:val="20"/>
          <w:szCs w:val="20"/>
          <w:lang w:val="en-US" w:eastAsia="zh-CN"/>
        </w:rPr>
        <w:t xml:space="preserve">AI/ML </w:t>
      </w:r>
      <w:r>
        <w:rPr>
          <w:sz w:val="20"/>
          <w:szCs w:val="20"/>
          <w:lang w:eastAsia="en-US"/>
        </w:rPr>
        <w:t>model input sample</w:t>
      </w:r>
      <w:r>
        <w:rPr>
          <w:rFonts w:hint="eastAsia"/>
          <w:sz w:val="20"/>
          <w:szCs w:val="20"/>
        </w:rPr>
        <w:t>, i.e., the specific Rx beam is changed from the first Rx beam to the fourth Rx beam on the first UE panel as the input sample changes, and f</w:t>
      </w:r>
      <w:r>
        <w:rPr>
          <w:rFonts w:hint="eastAsia" w:eastAsia="Times New Roman"/>
          <w:sz w:val="20"/>
          <w:szCs w:val="20"/>
          <w:lang w:val="en-GB"/>
        </w:rPr>
        <w:t xml:space="preserve">ollowed </w:t>
      </w:r>
      <w:r>
        <w:rPr>
          <w:rFonts w:hint="eastAsia" w:eastAsia="Times New Roman"/>
          <w:sz w:val="20"/>
          <w:szCs w:val="20"/>
        </w:rPr>
        <w:t>b</w:t>
      </w:r>
      <w:r>
        <w:rPr>
          <w:rFonts w:hint="eastAsia" w:eastAsia="Times New Roman"/>
          <w:sz w:val="20"/>
          <w:szCs w:val="20"/>
          <w:lang w:val="en-GB"/>
        </w:rPr>
        <w:t xml:space="preserve">y </w:t>
      </w:r>
      <w:r>
        <w:rPr>
          <w:rFonts w:hint="eastAsia" w:eastAsia="Times New Roman"/>
          <w:sz w:val="20"/>
          <w:szCs w:val="20"/>
        </w:rPr>
        <w:t>r</w:t>
      </w:r>
      <w:r>
        <w:rPr>
          <w:rFonts w:hint="eastAsia" w:eastAsia="Times New Roman"/>
          <w:sz w:val="20"/>
          <w:szCs w:val="20"/>
          <w:lang w:val="en-GB"/>
        </w:rPr>
        <w:t>ecycling</w:t>
      </w:r>
      <w:r>
        <w:rPr>
          <w:rFonts w:hint="eastAsia" w:eastAsia="Times New Roman"/>
          <w:sz w:val="20"/>
          <w:szCs w:val="20"/>
        </w:rPr>
        <w:t xml:space="preserve">.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Case 1-2-</w:t>
      </w:r>
      <w:r>
        <w:rPr>
          <w:rFonts w:hint="eastAsia"/>
          <w:b/>
          <w:bCs/>
          <w:sz w:val="20"/>
          <w:szCs w:val="20"/>
        </w:rPr>
        <w:t>8</w:t>
      </w:r>
      <w:r>
        <w:rPr>
          <w:rFonts w:hint="eastAsia" w:eastAsia="Times New Roman"/>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(i.e., Rx beam assumption 4) </w:t>
      </w:r>
      <w:r>
        <w:rPr>
          <w:sz w:val="20"/>
          <w:szCs w:val="20"/>
          <w:lang w:eastAsia="en-US"/>
        </w:rPr>
        <w:t xml:space="preserve">per </w:t>
      </w:r>
      <w:r>
        <w:rPr>
          <w:rFonts w:hint="eastAsia"/>
          <w:sz w:val="20"/>
          <w:szCs w:val="20"/>
          <w:lang w:val="en-US" w:eastAsia="zh-CN"/>
        </w:rPr>
        <w:t xml:space="preserve">AI/ML </w:t>
      </w:r>
      <w:r>
        <w:rPr>
          <w:sz w:val="20"/>
          <w:szCs w:val="20"/>
          <w:lang w:eastAsia="en-US"/>
        </w:rPr>
        <w:t>model input sample</w:t>
      </w:r>
      <w:r>
        <w:rPr>
          <w:rFonts w:hint="eastAsia"/>
          <w:sz w:val="20"/>
          <w:szCs w:val="20"/>
        </w:rPr>
        <w:t>, i.e., the specific Rx beam is changed from the first Rx beam to the eighth Rx beam on the two UE panels as the input sample changes, and f</w:t>
      </w:r>
      <w:r>
        <w:rPr>
          <w:rFonts w:hint="eastAsia" w:eastAsia="Times New Roman"/>
          <w:sz w:val="20"/>
          <w:szCs w:val="20"/>
          <w:lang w:val="en-GB"/>
        </w:rPr>
        <w:t xml:space="preserve">ollowed </w:t>
      </w:r>
      <w:r>
        <w:rPr>
          <w:rFonts w:hint="eastAsia" w:eastAsia="Times New Roman"/>
          <w:sz w:val="20"/>
          <w:szCs w:val="20"/>
        </w:rPr>
        <w:t>b</w:t>
      </w:r>
      <w:r>
        <w:rPr>
          <w:rFonts w:hint="eastAsia" w:eastAsia="Times New Roman"/>
          <w:sz w:val="20"/>
          <w:szCs w:val="20"/>
          <w:lang w:val="en-GB"/>
        </w:rPr>
        <w:t xml:space="preserve">y </w:t>
      </w:r>
      <w:r>
        <w:rPr>
          <w:rFonts w:hint="eastAsia" w:eastAsia="Times New Roman"/>
          <w:sz w:val="20"/>
          <w:szCs w:val="20"/>
        </w:rPr>
        <w:t>r</w:t>
      </w:r>
      <w:r>
        <w:rPr>
          <w:rFonts w:hint="eastAsia" w:eastAsia="Times New Roman"/>
          <w:sz w:val="20"/>
          <w:szCs w:val="20"/>
          <w:lang w:val="en-GB"/>
        </w:rPr>
        <w:t>ecycling</w:t>
      </w:r>
      <w:r>
        <w:rPr>
          <w:rFonts w:hint="eastAsia" w:eastAsia="Times New Roman"/>
          <w:sz w:val="20"/>
          <w:szCs w:val="20"/>
        </w:rPr>
        <w:t>.</w:t>
      </w:r>
    </w:p>
    <w:p>
      <w:pPr>
        <w:numPr>
          <w:ilvl w:val="0"/>
          <w:numId w:val="11"/>
        </w:numPr>
        <w:snapToGrid w:val="0"/>
        <w:spacing w:before="72" w:beforeLines="30" w:after="72" w:afterLines="30" w:line="288" w:lineRule="auto"/>
        <w:jc w:val="both"/>
      </w:pPr>
      <w:r>
        <w:rPr>
          <w:rFonts w:hint="eastAsia" w:eastAsia="Times New Roman"/>
          <w:b/>
          <w:bCs/>
          <w:sz w:val="20"/>
          <w:szCs w:val="20"/>
        </w:rPr>
        <w:t>Case 1-2-</w:t>
      </w:r>
      <w:r>
        <w:rPr>
          <w:rFonts w:hint="eastAsia"/>
          <w:b/>
          <w:bCs/>
          <w:sz w:val="20"/>
          <w:szCs w:val="20"/>
        </w:rPr>
        <w:t>9</w:t>
      </w:r>
      <w:r>
        <w:rPr>
          <w:rFonts w:hint="eastAsia" w:eastAsia="Times New Roman"/>
          <w:b/>
          <w:bCs/>
          <w:sz w:val="20"/>
          <w:szCs w:val="20"/>
        </w:rPr>
        <w:t xml:space="preserve">: </w:t>
      </w:r>
      <w:r>
        <w:rPr>
          <w:sz w:val="20"/>
          <w:szCs w:val="20"/>
          <w:lang w:eastAsia="en-US"/>
        </w:rPr>
        <w:t xml:space="preserve">Measurements of </w:t>
      </w:r>
      <w:r>
        <w:rPr>
          <w:rFonts w:hint="eastAsia"/>
          <w:sz w:val="20"/>
          <w:szCs w:val="20"/>
        </w:rPr>
        <w:t xml:space="preserve">a </w:t>
      </w:r>
      <w:r>
        <w:rPr>
          <w:sz w:val="20"/>
          <w:szCs w:val="20"/>
          <w:lang w:eastAsia="en-US"/>
        </w:rPr>
        <w:t>specific Rx beam</w:t>
      </w:r>
      <w:r>
        <w:rPr>
          <w:rFonts w:hint="eastAsia"/>
          <w:sz w:val="20"/>
          <w:szCs w:val="20"/>
        </w:rPr>
        <w:t xml:space="preserve"> (i.e., Rx beam assumption 4) </w:t>
      </w:r>
      <w:r>
        <w:rPr>
          <w:sz w:val="20"/>
          <w:szCs w:val="20"/>
          <w:lang w:eastAsia="en-US"/>
        </w:rPr>
        <w:t xml:space="preserve">for all </w:t>
      </w:r>
      <w:r>
        <w:rPr>
          <w:rFonts w:hint="eastAsia"/>
          <w:sz w:val="20"/>
          <w:szCs w:val="20"/>
          <w:lang w:val="en-US" w:eastAsia="zh-CN"/>
        </w:rPr>
        <w:t xml:space="preserve">AI/ML </w:t>
      </w:r>
      <w:r>
        <w:rPr>
          <w:sz w:val="20"/>
          <w:szCs w:val="20"/>
          <w:lang w:eastAsia="en-US"/>
        </w:rPr>
        <w:t>model input sample</w:t>
      </w:r>
      <w:r>
        <w:rPr>
          <w:rFonts w:hint="eastAsia"/>
          <w:sz w:val="20"/>
          <w:szCs w:val="20"/>
        </w:rPr>
        <w:t xml:space="preserve">s, i.e., the first Rx beam on the first UE panel is always used. </w:t>
      </w:r>
    </w:p>
    <w:p>
      <w:pPr>
        <w:snapToGrid w:val="0"/>
        <w:spacing w:before="72" w:beforeLines="30" w:after="72" w:afterLines="30" w:line="288" w:lineRule="auto"/>
        <w:jc w:val="both"/>
        <w:rPr>
          <w:rFonts w:eastAsia="Times New Roman"/>
          <w:sz w:val="20"/>
          <w:szCs w:val="20"/>
        </w:rPr>
      </w:pPr>
      <w:r>
        <w:rPr>
          <w:rFonts w:hint="eastAsia"/>
          <w:sz w:val="20"/>
          <w:szCs w:val="20"/>
        </w:rPr>
        <w:t xml:space="preserve">For the KPI calculation, the Top-1 genie-aided Tx beam is the Tx beam that results in the largest L1-RSRP over all Tx beams with specific Rx beam(s) (i.e., Option B). Detailed simulation results of the above 3 cases are provided in the result collection excel [1]. Some of the simulation results are also provided in </w:t>
      </w:r>
      <w:r>
        <w:rPr>
          <w:rFonts w:hint="eastAsia" w:eastAsia="Times New Roman"/>
          <w:sz w:val="20"/>
          <w:szCs w:val="20"/>
          <w:lang w:val="en-GB"/>
        </w:rPr>
        <w:t xml:space="preserve">Table </w:t>
      </w:r>
      <w:r>
        <w:rPr>
          <w:rFonts w:hint="eastAsia" w:eastAsia="Times New Roman"/>
          <w:sz w:val="20"/>
          <w:szCs w:val="20"/>
        </w:rPr>
        <w:fldChar w:fldCharType="begin"/>
      </w:r>
      <w:r>
        <w:rPr>
          <w:rFonts w:hint="eastAsia" w:eastAsia="Times New Roman"/>
          <w:sz w:val="20"/>
          <w:szCs w:val="20"/>
        </w:rPr>
        <w:instrText xml:space="preserve"> = 4 \* ROMAN \* MERGEFORMAT </w:instrText>
      </w:r>
      <w:r>
        <w:rPr>
          <w:rFonts w:hint="eastAsia" w:eastAsia="Times New Roman"/>
          <w:sz w:val="20"/>
          <w:szCs w:val="20"/>
        </w:rPr>
        <w:fldChar w:fldCharType="separate"/>
      </w:r>
      <w:r>
        <w:rPr>
          <w:rFonts w:hint="eastAsia" w:eastAsia="Times New Roman"/>
          <w:sz w:val="20"/>
          <w:szCs w:val="20"/>
        </w:rPr>
        <w:t>IV</w:t>
      </w:r>
      <w:r>
        <w:rPr>
          <w:rFonts w:hint="eastAsia" w:eastAsia="Times New Roman"/>
          <w:sz w:val="20"/>
          <w:szCs w:val="20"/>
        </w:rPr>
        <w:fldChar w:fldCharType="end"/>
      </w:r>
      <w:r>
        <w:rPr>
          <w:rFonts w:hint="eastAsia"/>
          <w:sz w:val="20"/>
          <w:szCs w:val="20"/>
        </w:rPr>
        <w:t xml:space="preserve"> for reference. </w:t>
      </w:r>
      <w:r>
        <w:rPr>
          <w:rFonts w:hint="eastAsia" w:eastAsia="Times New Roman"/>
          <w:sz w:val="20"/>
          <w:szCs w:val="20"/>
        </w:rPr>
        <w:t>According</w:t>
      </w:r>
      <w:r>
        <w:rPr>
          <w:rFonts w:hint="eastAsia"/>
          <w:sz w:val="20"/>
          <w:szCs w:val="20"/>
        </w:rPr>
        <w:t>ly</w:t>
      </w:r>
      <w:r>
        <w:rPr>
          <w:rFonts w:hint="eastAsia" w:eastAsia="Times New Roman"/>
          <w:sz w:val="20"/>
          <w:szCs w:val="20"/>
        </w:rPr>
        <w:t xml:space="preserve">, </w:t>
      </w:r>
      <w:bookmarkStart w:id="3" w:name="OLE_LINK8"/>
      <w:r>
        <w:rPr>
          <w:rFonts w:hint="eastAsia"/>
          <w:sz w:val="20"/>
          <w:szCs w:val="20"/>
        </w:rPr>
        <w:t>C</w:t>
      </w:r>
      <w:r>
        <w:rPr>
          <w:rFonts w:hint="eastAsia" w:eastAsia="Times New Roman"/>
          <w:sz w:val="20"/>
          <w:szCs w:val="20"/>
        </w:rPr>
        <w:t>ase 1-2-</w:t>
      </w:r>
      <w:r>
        <w:rPr>
          <w:rFonts w:hint="eastAsia"/>
          <w:sz w:val="20"/>
          <w:szCs w:val="20"/>
        </w:rPr>
        <w:t>7</w:t>
      </w:r>
      <w:r>
        <w:rPr>
          <w:rFonts w:hint="eastAsia" w:eastAsia="Times New Roman"/>
          <w:sz w:val="20"/>
          <w:szCs w:val="20"/>
        </w:rPr>
        <w:t xml:space="preserve">, </w:t>
      </w:r>
      <w:r>
        <w:rPr>
          <w:rFonts w:hint="eastAsia"/>
          <w:sz w:val="20"/>
          <w:szCs w:val="20"/>
        </w:rPr>
        <w:t>C</w:t>
      </w:r>
      <w:r>
        <w:rPr>
          <w:rFonts w:hint="eastAsia" w:eastAsia="Times New Roman"/>
          <w:sz w:val="20"/>
          <w:szCs w:val="20"/>
        </w:rPr>
        <w:t>ase 1-2-</w:t>
      </w:r>
      <w:r>
        <w:rPr>
          <w:rFonts w:hint="eastAsia"/>
          <w:sz w:val="20"/>
          <w:szCs w:val="20"/>
        </w:rPr>
        <w:t>8</w:t>
      </w:r>
      <w:r>
        <w:rPr>
          <w:rFonts w:hint="eastAsia" w:eastAsia="Times New Roman"/>
          <w:sz w:val="20"/>
          <w:szCs w:val="20"/>
        </w:rPr>
        <w:t xml:space="preserve">, and </w:t>
      </w:r>
      <w:r>
        <w:rPr>
          <w:rFonts w:hint="eastAsia"/>
          <w:sz w:val="20"/>
          <w:szCs w:val="20"/>
        </w:rPr>
        <w:t>C</w:t>
      </w:r>
      <w:r>
        <w:rPr>
          <w:rFonts w:hint="eastAsia" w:eastAsia="Times New Roman"/>
          <w:sz w:val="20"/>
          <w:szCs w:val="20"/>
        </w:rPr>
        <w:t>ase 1-2-</w:t>
      </w:r>
      <w:r>
        <w:rPr>
          <w:rFonts w:hint="eastAsia"/>
          <w:sz w:val="20"/>
          <w:szCs w:val="20"/>
        </w:rPr>
        <w:t>9</w:t>
      </w:r>
      <w:r>
        <w:rPr>
          <w:rFonts w:hint="eastAsia" w:eastAsia="Times New Roman"/>
          <w:sz w:val="20"/>
          <w:szCs w:val="20"/>
        </w:rPr>
        <w:t xml:space="preserve"> have similar performance, which is lower than that of </w:t>
      </w:r>
      <w:r>
        <w:rPr>
          <w:rFonts w:hint="eastAsia"/>
          <w:sz w:val="20"/>
          <w:szCs w:val="20"/>
        </w:rPr>
        <w:t>the best Rx beam</w:t>
      </w:r>
      <w:r>
        <w:rPr>
          <w:rFonts w:hint="eastAsia" w:eastAsia="Times New Roman"/>
          <w:sz w:val="20"/>
          <w:szCs w:val="20"/>
        </w:rPr>
        <w:t>.</w:t>
      </w:r>
      <w:bookmarkEnd w:id="3"/>
      <w:r>
        <w:rPr>
          <w:rFonts w:hint="eastAsia" w:eastAsia="Times New Roman"/>
          <w:sz w:val="20"/>
          <w:szCs w:val="20"/>
        </w:rPr>
        <w:t xml:space="preserve"> As can be concluded, the measured RSRPs corresponding to the </w:t>
      </w:r>
      <w:r>
        <w:rPr>
          <w:rFonts w:hint="eastAsia"/>
          <w:sz w:val="20"/>
          <w:szCs w:val="20"/>
        </w:rPr>
        <w:t xml:space="preserve">best </w:t>
      </w:r>
      <w:r>
        <w:rPr>
          <w:rFonts w:hint="eastAsia" w:eastAsia="Times New Roman"/>
          <w:sz w:val="20"/>
          <w:szCs w:val="20"/>
        </w:rPr>
        <w:t xml:space="preserve">Rx beam are usually higher than that of other Rx beams, and thus more features can be extracted by the </w:t>
      </w:r>
      <w:r>
        <w:rPr>
          <w:rFonts w:hint="eastAsia"/>
          <w:sz w:val="20"/>
          <w:szCs w:val="20"/>
          <w:lang w:val="en-US" w:eastAsia="zh-CN"/>
        </w:rPr>
        <w:t xml:space="preserve">AI/ML </w:t>
      </w:r>
      <w:r>
        <w:rPr>
          <w:rFonts w:hint="eastAsia" w:eastAsia="Times New Roman"/>
          <w:sz w:val="20"/>
          <w:szCs w:val="20"/>
        </w:rPr>
        <w:t xml:space="preserve">model. </w:t>
      </w:r>
    </w:p>
    <w:p>
      <w:pPr>
        <w:snapToGrid w:val="0"/>
        <w:spacing w:before="72" w:beforeLines="30" w:after="72" w:afterLines="30" w:line="288" w:lineRule="auto"/>
        <w:jc w:val="center"/>
        <w:rPr>
          <w:b/>
          <w:bCs/>
          <w:sz w:val="20"/>
          <w:szCs w:val="20"/>
        </w:rPr>
      </w:pPr>
      <w:r>
        <w:rPr>
          <w:rFonts w:hint="eastAsia" w:eastAsia="Times New Roman"/>
          <w:sz w:val="20"/>
          <w:szCs w:val="20"/>
        </w:rPr>
        <w:t xml:space="preserve">Table </w:t>
      </w:r>
      <w:r>
        <w:rPr>
          <w:rFonts w:hint="eastAsia" w:eastAsia="Times New Roman"/>
          <w:sz w:val="20"/>
          <w:szCs w:val="20"/>
        </w:rPr>
        <w:fldChar w:fldCharType="begin"/>
      </w:r>
      <w:r>
        <w:rPr>
          <w:rFonts w:hint="eastAsia" w:eastAsia="Times New Roman"/>
          <w:sz w:val="20"/>
          <w:szCs w:val="20"/>
        </w:rPr>
        <w:instrText xml:space="preserve"> = 4 \* ROMAN \* MERGEFORMAT </w:instrText>
      </w:r>
      <w:r>
        <w:rPr>
          <w:rFonts w:hint="eastAsia" w:eastAsia="Times New Roman"/>
          <w:sz w:val="20"/>
          <w:szCs w:val="20"/>
        </w:rPr>
        <w:fldChar w:fldCharType="separate"/>
      </w:r>
      <w:r>
        <w:rPr>
          <w:rFonts w:hint="eastAsia" w:eastAsia="Times New Roman"/>
          <w:sz w:val="20"/>
          <w:szCs w:val="20"/>
        </w:rPr>
        <w:t>IV</w:t>
      </w:r>
      <w:r>
        <w:rPr>
          <w:rFonts w:hint="eastAsia" w:eastAsia="Times New Roman"/>
          <w:sz w:val="20"/>
          <w:szCs w:val="20"/>
        </w:rPr>
        <w:fldChar w:fldCharType="end"/>
      </w:r>
      <w:r>
        <w:rPr>
          <w:rFonts w:hint="eastAsia" w:eastAsia="Times New Roman"/>
          <w:sz w:val="20"/>
          <w:szCs w:val="20"/>
        </w:rPr>
        <w:t xml:space="preserve">. Simulation results for DL Tx beam prediction with </w:t>
      </w:r>
      <w:r>
        <w:rPr>
          <w:rFonts w:hint="eastAsia"/>
          <w:sz w:val="20"/>
          <w:szCs w:val="20"/>
        </w:rPr>
        <w:t xml:space="preserve">specific </w:t>
      </w:r>
      <w:r>
        <w:rPr>
          <w:rFonts w:hint="eastAsia" w:eastAsia="Times New Roman"/>
          <w:sz w:val="20"/>
          <w:szCs w:val="20"/>
        </w:rPr>
        <w:t>Rx beam assumptions</w:t>
      </w:r>
    </w:p>
    <w:tbl>
      <w:tblPr>
        <w:tblStyle w:val="24"/>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1024"/>
        <w:gridCol w:w="1040"/>
        <w:gridCol w:w="1077"/>
        <w:gridCol w:w="954"/>
        <w:gridCol w:w="1003"/>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1"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Cases</w:t>
            </w:r>
          </w:p>
        </w:tc>
        <w:tc>
          <w:tcPr>
            <w:tcW w:w="668"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Non-AI/AI</w:t>
            </w:r>
          </w:p>
        </w:tc>
        <w:tc>
          <w:tcPr>
            <w:tcW w:w="678"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03"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622"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54"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792" w:type="pct"/>
            <w:tcBorders>
              <w:left w:val="nil"/>
            </w:tcBorders>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1"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sz w:val="20"/>
                <w:szCs w:val="20"/>
              </w:rPr>
              <w:t>Case 1-2-7</w:t>
            </w:r>
          </w:p>
        </w:tc>
        <w:tc>
          <w:tcPr>
            <w:tcW w:w="668"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50"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2.118       42.32 %       24.86 %       24.86 %       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1"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68"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50"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0.161       96.06 %       82.29 %       98.34 %       0.279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1"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rFonts w:hint="eastAsia"/>
                <w:sz w:val="20"/>
                <w:szCs w:val="20"/>
              </w:rPr>
              <w:t>Case 1-2-8</w:t>
            </w:r>
          </w:p>
        </w:tc>
        <w:tc>
          <w:tcPr>
            <w:tcW w:w="668"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50"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2.086       43.35 %       25.58 %       25.58 %       2.073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1"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68"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50"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0.152       96.19 %        82.32 %       98.55 %       0.269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1"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rFonts w:hint="eastAsia"/>
                <w:sz w:val="20"/>
                <w:szCs w:val="20"/>
              </w:rPr>
              <w:t>Case 1-2-9</w:t>
            </w:r>
          </w:p>
        </w:tc>
        <w:tc>
          <w:tcPr>
            <w:tcW w:w="668"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50"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2.114       42.99 %         24.72 %       24.72 %       2.116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81"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68"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50"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0.129       96.50 %        83.07 %       98.72 %       0.268</w:t>
            </w:r>
          </w:p>
        </w:tc>
      </w:tr>
    </w:tbl>
    <w:p>
      <w:pPr>
        <w:pStyle w:val="117"/>
        <w:spacing w:before="72" w:after="72"/>
        <w:jc w:val="both"/>
        <w:rPr>
          <w:kern w:val="2"/>
          <w:sz w:val="20"/>
          <w:szCs w:val="20"/>
        </w:rPr>
      </w:pPr>
      <w:r>
        <w:rPr>
          <w:kern w:val="2"/>
          <w:sz w:val="20"/>
          <w:szCs w:val="20"/>
          <w:lang w:val="en-US" w:eastAsia="zh-CN"/>
        </w:rPr>
        <w:t>For D</w:t>
      </w:r>
      <w:r>
        <w:rPr>
          <w:rFonts w:hint="eastAsia"/>
          <w:kern w:val="2"/>
          <w:sz w:val="20"/>
          <w:szCs w:val="20"/>
          <w:lang w:val="en-US" w:eastAsia="zh-CN"/>
        </w:rPr>
        <w:t>L</w:t>
      </w:r>
      <w:r>
        <w:rPr>
          <w:kern w:val="2"/>
          <w:sz w:val="20"/>
          <w:szCs w:val="20"/>
          <w:lang w:val="en-US" w:eastAsia="zh-CN"/>
        </w:rPr>
        <w:t xml:space="preserve"> Tx beam prediction based on a</w:t>
      </w:r>
      <w:r>
        <w:rPr>
          <w:rFonts w:hint="eastAsia"/>
          <w:kern w:val="2"/>
          <w:sz w:val="20"/>
          <w:szCs w:val="20"/>
        </w:rPr>
        <w:t xml:space="preserve"> </w:t>
      </w:r>
      <w:r>
        <w:rPr>
          <w:rFonts w:hint="eastAsia"/>
          <w:kern w:val="2"/>
          <w:sz w:val="20"/>
          <w:szCs w:val="20"/>
          <w:lang w:val="en-US" w:eastAsia="zh-CN"/>
        </w:rPr>
        <w:t xml:space="preserve">specific </w:t>
      </w:r>
      <w:r>
        <w:rPr>
          <w:rFonts w:hint="eastAsia"/>
          <w:kern w:val="2"/>
          <w:sz w:val="20"/>
          <w:szCs w:val="20"/>
        </w:rPr>
        <w:t>Rx beam assumption, Option 2a (i.e., m</w:t>
      </w:r>
      <w:r>
        <w:rPr>
          <w:kern w:val="2"/>
          <w:sz w:val="20"/>
          <w:szCs w:val="20"/>
        </w:rPr>
        <w:t>easurements of specific Rx beam(s) per model input sample</w:t>
      </w:r>
      <w:r>
        <w:rPr>
          <w:rFonts w:hint="eastAsia"/>
          <w:kern w:val="2"/>
          <w:sz w:val="20"/>
          <w:szCs w:val="20"/>
        </w:rPr>
        <w:t>) and Option 2b (i.e., m</w:t>
      </w:r>
      <w:r>
        <w:rPr>
          <w:kern w:val="2"/>
          <w:sz w:val="20"/>
          <w:szCs w:val="20"/>
        </w:rPr>
        <w:t>easurements of specific Rx beam(s) for all model input sample</w:t>
      </w:r>
      <w:r>
        <w:rPr>
          <w:rFonts w:hint="eastAsia"/>
          <w:kern w:val="2"/>
          <w:sz w:val="20"/>
          <w:szCs w:val="20"/>
        </w:rPr>
        <w:t xml:space="preserve">s) </w:t>
      </w:r>
      <w:r>
        <w:rPr>
          <w:rFonts w:hint="eastAsia"/>
          <w:kern w:val="2"/>
          <w:sz w:val="20"/>
          <w:szCs w:val="20"/>
          <w:lang w:val="en-US" w:eastAsia="zh-CN"/>
        </w:rPr>
        <w:t xml:space="preserve">show </w:t>
      </w:r>
      <w:r>
        <w:rPr>
          <w:rFonts w:hint="eastAsia"/>
          <w:kern w:val="2"/>
          <w:sz w:val="20"/>
          <w:szCs w:val="20"/>
        </w:rPr>
        <w:t xml:space="preserve">similar </w:t>
      </w:r>
      <w:r>
        <w:rPr>
          <w:rFonts w:hint="eastAsia"/>
          <w:kern w:val="2"/>
          <w:sz w:val="20"/>
          <w:szCs w:val="20"/>
          <w:lang w:val="en-US" w:eastAsia="zh-CN"/>
        </w:rPr>
        <w:t>beam prediction accuracy</w:t>
      </w:r>
      <w:r>
        <w:rPr>
          <w:rFonts w:hint="eastAsia"/>
          <w:kern w:val="2"/>
          <w:sz w:val="20"/>
          <w:szCs w:val="20"/>
        </w:rPr>
        <w:t>.</w:t>
      </w:r>
    </w:p>
    <w:p>
      <w:pPr>
        <w:snapToGrid w:val="0"/>
        <w:spacing w:before="72" w:beforeLines="30" w:after="72" w:afterLines="30" w:line="288" w:lineRule="auto"/>
        <w:jc w:val="both"/>
        <w:rPr>
          <w:i/>
          <w:iCs/>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Performance comparison of different Set B pattern</w:t>
      </w:r>
    </w:p>
    <w:p>
      <w:pPr>
        <w:widowControl w:val="0"/>
        <w:snapToGrid w:val="0"/>
        <w:spacing w:before="72" w:beforeLines="30" w:after="72" w:afterLines="30" w:line="288" w:lineRule="auto"/>
        <w:rPr>
          <w:sz w:val="20"/>
          <w:szCs w:val="20"/>
        </w:rPr>
      </w:pPr>
      <w:r>
        <w:rPr>
          <w:rFonts w:hint="eastAsia"/>
          <w:sz w:val="20"/>
          <w:szCs w:val="20"/>
        </w:rPr>
        <w:t>In RAN1#112, b</w:t>
      </w:r>
      <w:r>
        <w:rPr>
          <w:sz w:val="20"/>
          <w:szCs w:val="20"/>
        </w:rPr>
        <w:t xml:space="preserve">oth options </w:t>
      </w:r>
      <w:r>
        <w:rPr>
          <w:rFonts w:hint="eastAsia"/>
          <w:sz w:val="20"/>
          <w:szCs w:val="20"/>
        </w:rPr>
        <w:t xml:space="preserve">agreed in RAN1#110b-e </w:t>
      </w:r>
      <w:r>
        <w:rPr>
          <w:sz w:val="20"/>
          <w:szCs w:val="20"/>
        </w:rPr>
        <w:t xml:space="preserve">for </w:t>
      </w:r>
      <w:r>
        <w:rPr>
          <w:rFonts w:hint="eastAsia"/>
          <w:sz w:val="20"/>
          <w:szCs w:val="20"/>
        </w:rPr>
        <w:t>the selection of S</w:t>
      </w:r>
      <w:r>
        <w:rPr>
          <w:sz w:val="20"/>
          <w:szCs w:val="20"/>
        </w:rPr>
        <w:t xml:space="preserve">et B </w:t>
      </w:r>
      <w:r>
        <w:rPr>
          <w:rFonts w:hint="eastAsia"/>
          <w:sz w:val="20"/>
          <w:szCs w:val="20"/>
        </w:rPr>
        <w:t xml:space="preserve">of beams (pairs) were </w:t>
      </w:r>
      <w:r>
        <w:rPr>
          <w:sz w:val="20"/>
          <w:szCs w:val="20"/>
        </w:rPr>
        <w:t xml:space="preserve">kept open for further study. </w:t>
      </w:r>
      <w:r>
        <w:rPr>
          <w:rFonts w:hint="eastAsia"/>
          <w:sz w:val="20"/>
          <w:szCs w:val="20"/>
        </w:rPr>
        <w:t>Besides, o</w:t>
      </w:r>
      <w:r>
        <w:rPr>
          <w:sz w:val="20"/>
          <w:szCs w:val="20"/>
        </w:rPr>
        <w:t xml:space="preserve">ption D </w:t>
      </w:r>
      <w:r>
        <w:rPr>
          <w:rFonts w:hint="eastAsia"/>
          <w:sz w:val="20"/>
          <w:szCs w:val="20"/>
        </w:rPr>
        <w:t xml:space="preserve">was </w:t>
      </w:r>
      <w:r>
        <w:rPr>
          <w:sz w:val="20"/>
          <w:szCs w:val="20"/>
        </w:rPr>
        <w:t xml:space="preserve">added </w:t>
      </w:r>
      <w:r>
        <w:rPr>
          <w:rFonts w:hint="eastAsia"/>
          <w:sz w:val="20"/>
          <w:szCs w:val="20"/>
        </w:rPr>
        <w:t xml:space="preserve">as follows </w:t>
      </w:r>
      <w:r>
        <w:rPr>
          <w:sz w:val="20"/>
          <w:szCs w:val="20"/>
        </w:rPr>
        <w:t xml:space="preserve">to cover the issue when not all the beams that UE measured is reported, which is valid because now the definition of </w:t>
      </w:r>
      <w:r>
        <w:rPr>
          <w:rFonts w:hint="eastAsia"/>
          <w:sz w:val="20"/>
          <w:szCs w:val="20"/>
        </w:rPr>
        <w:t>S</w:t>
      </w:r>
      <w:r>
        <w:rPr>
          <w:sz w:val="20"/>
          <w:szCs w:val="20"/>
        </w:rPr>
        <w:t>et B is the input of the AI/ML model, not the set of beams that UE measures.</w:t>
      </w:r>
      <w:r>
        <w:rPr>
          <w:rFonts w:hint="eastAsia"/>
          <w:sz w:val="20"/>
          <w:szCs w:val="20"/>
        </w:rPr>
        <w:t xml:space="preserve"> According to the agreement achieved in RAN1#112, more comprehensive Set B design can be studied and evaluated, including joint designing the number of beams in Set B and their beam shape.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widowControl w:val="0"/>
              <w:tabs>
                <w:tab w:val="left" w:pos="720"/>
                <w:tab w:val="left" w:pos="1710"/>
              </w:tabs>
              <w:snapToGrid w:val="0"/>
              <w:spacing w:before="72" w:beforeLines="30" w:after="72" w:afterLines="30" w:line="288" w:lineRule="auto"/>
              <w:contextualSpacing/>
              <w:rPr>
                <w:b/>
                <w:bCs/>
                <w:sz w:val="20"/>
                <w:szCs w:val="20"/>
                <w:u w:val="single"/>
              </w:rPr>
            </w:pPr>
            <w:r>
              <w:rPr>
                <w:b/>
                <w:bCs/>
                <w:sz w:val="20"/>
                <w:szCs w:val="20"/>
                <w:u w:val="single"/>
              </w:rPr>
              <w:t>Proposal</w:t>
            </w:r>
            <w:r>
              <w:rPr>
                <w:rFonts w:hint="eastAsia"/>
                <w:b/>
                <w:bCs/>
                <w:sz w:val="20"/>
                <w:szCs w:val="20"/>
                <w:u w:val="single"/>
              </w:rPr>
              <w:t>:</w:t>
            </w:r>
          </w:p>
          <w:p>
            <w:pPr>
              <w:widowControl w:val="0"/>
              <w:numPr>
                <w:ilvl w:val="0"/>
                <w:numId w:val="12"/>
              </w:numPr>
              <w:tabs>
                <w:tab w:val="left" w:pos="720"/>
                <w:tab w:val="left" w:pos="1710"/>
              </w:tabs>
              <w:snapToGrid w:val="0"/>
              <w:spacing w:before="72" w:beforeLines="30" w:after="72" w:afterLines="30" w:line="288" w:lineRule="auto"/>
              <w:contextualSpacing/>
              <w:rPr>
                <w:sz w:val="20"/>
                <w:szCs w:val="20"/>
                <w:lang w:eastAsia="ko-KR"/>
              </w:rPr>
            </w:pPr>
            <w:r>
              <w:rPr>
                <w:sz w:val="20"/>
                <w:szCs w:val="20"/>
                <w:lang w:eastAsia="ko-KR"/>
              </w:rPr>
              <w:t xml:space="preserve">Study the following options on the selection of Set B of beams (pairs) </w:t>
            </w:r>
          </w:p>
          <w:p>
            <w:pPr>
              <w:widowControl w:val="0"/>
              <w:numPr>
                <w:ilvl w:val="1"/>
                <w:numId w:val="12"/>
              </w:numPr>
              <w:snapToGrid w:val="0"/>
              <w:spacing w:before="72" w:beforeLines="30" w:after="72" w:afterLines="30" w:line="288" w:lineRule="auto"/>
              <w:contextualSpacing/>
              <w:rPr>
                <w:sz w:val="20"/>
                <w:szCs w:val="20"/>
                <w:lang w:eastAsia="ko-KR"/>
              </w:rPr>
            </w:pPr>
            <w:r>
              <w:rPr>
                <w:sz w:val="20"/>
                <w:szCs w:val="20"/>
                <w:lang w:eastAsia="ko-KR"/>
              </w:rPr>
              <w:t>Option 1: Set B is fixed across training and inference</w:t>
            </w:r>
          </w:p>
          <w:p>
            <w:pPr>
              <w:widowControl w:val="0"/>
              <w:numPr>
                <w:ilvl w:val="1"/>
                <w:numId w:val="12"/>
              </w:numPr>
              <w:snapToGrid w:val="0"/>
              <w:spacing w:before="72" w:beforeLines="30" w:after="72" w:afterLines="30" w:line="288" w:lineRule="auto"/>
              <w:contextualSpacing/>
              <w:rPr>
                <w:sz w:val="20"/>
                <w:szCs w:val="20"/>
                <w:lang w:eastAsia="ko-KR"/>
              </w:rPr>
            </w:pPr>
            <w:r>
              <w:rPr>
                <w:sz w:val="20"/>
                <w:szCs w:val="20"/>
                <w:lang w:eastAsia="ko-KR"/>
              </w:rPr>
              <w:t xml:space="preserve">Option 2: Set B is variable (e.g., different beams (pairs) patterns in each </w:t>
            </w:r>
            <w:r>
              <w:rPr>
                <w:sz w:val="20"/>
                <w:szCs w:val="20"/>
              </w:rPr>
              <w:t xml:space="preserve">time instance/ </w:t>
            </w:r>
            <w:r>
              <w:rPr>
                <w:sz w:val="20"/>
                <w:szCs w:val="20"/>
                <w:lang w:eastAsia="ko-KR"/>
              </w:rPr>
              <w:t>report/measurement during training and/or inference), FFS:</w:t>
            </w:r>
          </w:p>
          <w:p>
            <w:pPr>
              <w:widowControl w:val="0"/>
              <w:numPr>
                <w:ilvl w:val="2"/>
                <w:numId w:val="12"/>
              </w:numPr>
              <w:snapToGrid w:val="0"/>
              <w:spacing w:before="72" w:beforeLines="30" w:after="72" w:afterLines="30" w:line="288" w:lineRule="auto"/>
              <w:contextualSpacing/>
              <w:rPr>
                <w:sz w:val="20"/>
                <w:szCs w:val="20"/>
                <w:lang w:eastAsia="ko-KR"/>
              </w:rPr>
            </w:pPr>
            <w:r>
              <w:rPr>
                <w:sz w:val="20"/>
                <w:szCs w:val="20"/>
                <w:lang w:eastAsia="ko-KR"/>
              </w:rPr>
              <w:t xml:space="preserve">Opt A: Set B is changed following a set of pre-configured/pre-known patterns </w:t>
            </w:r>
          </w:p>
          <w:p>
            <w:pPr>
              <w:widowControl w:val="0"/>
              <w:numPr>
                <w:ilvl w:val="2"/>
                <w:numId w:val="12"/>
              </w:numPr>
              <w:snapToGrid w:val="0"/>
              <w:spacing w:before="72" w:beforeLines="30" w:after="72" w:afterLines="30" w:line="288" w:lineRule="auto"/>
              <w:contextualSpacing/>
              <w:rPr>
                <w:sz w:val="20"/>
                <w:szCs w:val="20"/>
                <w:lang w:eastAsia="ko-KR"/>
              </w:rPr>
            </w:pPr>
            <w:r>
              <w:rPr>
                <w:sz w:val="20"/>
                <w:szCs w:val="20"/>
                <w:lang w:eastAsia="ko-KR"/>
              </w:rPr>
              <w:t xml:space="preserve">Opt B: Set B is changed among pre-configured/ pre-known patterns </w:t>
            </w:r>
          </w:p>
          <w:p>
            <w:pPr>
              <w:widowControl w:val="0"/>
              <w:numPr>
                <w:ilvl w:val="2"/>
                <w:numId w:val="12"/>
              </w:numPr>
              <w:snapToGrid w:val="0"/>
              <w:spacing w:before="72" w:beforeLines="30" w:after="72" w:afterLines="30" w:line="288" w:lineRule="auto"/>
              <w:contextualSpacing/>
              <w:rPr>
                <w:sz w:val="20"/>
                <w:szCs w:val="20"/>
                <w:lang w:eastAsia="ko-KR"/>
              </w:rPr>
            </w:pPr>
            <w:r>
              <w:rPr>
                <w:sz w:val="20"/>
                <w:szCs w:val="20"/>
                <w:lang w:eastAsia="ko-KR"/>
              </w:rPr>
              <w:t xml:space="preserve">Opt C: Set B is changed among Set A beams (pairs) </w:t>
            </w:r>
          </w:p>
          <w:p>
            <w:pPr>
              <w:widowControl w:val="0"/>
              <w:numPr>
                <w:ilvl w:val="2"/>
                <w:numId w:val="12"/>
              </w:numPr>
              <w:snapToGrid w:val="0"/>
              <w:spacing w:before="72" w:beforeLines="30" w:after="72" w:afterLines="30" w:line="288" w:lineRule="auto"/>
              <w:contextualSpacing/>
              <w:rPr>
                <w:sz w:val="20"/>
                <w:szCs w:val="20"/>
                <w:lang w:eastAsia="ko-KR"/>
              </w:rPr>
            </w:pPr>
            <w:r>
              <w:rPr>
                <w:sz w:val="20"/>
                <w:szCs w:val="20"/>
                <w:lang w:eastAsia="ko-KR"/>
              </w:rPr>
              <w:t>Opt D: Set B is changed among a set of beams (pairs) for measurement</w:t>
            </w:r>
          </w:p>
          <w:p>
            <w:pPr>
              <w:widowControl w:val="0"/>
              <w:numPr>
                <w:ilvl w:val="2"/>
                <w:numId w:val="12"/>
              </w:numPr>
              <w:snapToGrid w:val="0"/>
              <w:spacing w:before="72" w:beforeLines="30" w:after="72" w:afterLines="30" w:line="288" w:lineRule="auto"/>
              <w:contextualSpacing/>
              <w:rPr>
                <w:sz w:val="20"/>
                <w:szCs w:val="20"/>
                <w:lang w:eastAsia="ko-KR"/>
              </w:rPr>
            </w:pPr>
            <w:r>
              <w:rPr>
                <w:sz w:val="20"/>
                <w:szCs w:val="20"/>
                <w:lang w:eastAsia="ko-KR"/>
              </w:rPr>
              <w:t>The number of beams(pairs) in Set B can be fixed or variable</w:t>
            </w:r>
          </w:p>
          <w:p>
            <w:pPr>
              <w:widowControl w:val="0"/>
              <w:numPr>
                <w:ilvl w:val="2"/>
                <w:numId w:val="12"/>
              </w:numPr>
              <w:snapToGrid w:val="0"/>
              <w:spacing w:before="72" w:beforeLines="30" w:after="72" w:afterLines="30" w:line="288" w:lineRule="auto"/>
              <w:contextualSpacing/>
              <w:rPr>
                <w:sz w:val="20"/>
                <w:szCs w:val="20"/>
                <w:lang w:eastAsia="ko-KR"/>
              </w:rPr>
            </w:pPr>
            <w:r>
              <w:rPr>
                <w:sz w:val="20"/>
                <w:szCs w:val="20"/>
                <w:lang w:eastAsia="ko-KR"/>
              </w:rPr>
              <w:t xml:space="preserve">Note: BM-Case1 and BM-Case2 may be considered for different option. </w:t>
            </w:r>
          </w:p>
          <w:p>
            <w:pPr>
              <w:widowControl w:val="0"/>
              <w:numPr>
                <w:ilvl w:val="1"/>
                <w:numId w:val="12"/>
              </w:numPr>
              <w:snapToGrid w:val="0"/>
              <w:spacing w:before="72" w:beforeLines="30" w:after="72" w:afterLines="30" w:line="288" w:lineRule="auto"/>
              <w:contextualSpacing/>
              <w:rPr>
                <w:sz w:val="20"/>
                <w:szCs w:val="20"/>
              </w:rPr>
            </w:pPr>
            <w:r>
              <w:rPr>
                <w:sz w:val="20"/>
                <w:szCs w:val="20"/>
                <w:lang w:eastAsia="ko-KR"/>
              </w:rPr>
              <w:t>Other options are not precluded.</w:t>
            </w:r>
          </w:p>
          <w:p>
            <w:pPr>
              <w:pStyle w:val="100"/>
              <w:widowControl w:val="0"/>
              <w:numPr>
                <w:ilvl w:val="255"/>
                <w:numId w:val="0"/>
              </w:numPr>
              <w:tabs>
                <w:tab w:val="left" w:pos="1710"/>
              </w:tabs>
              <w:snapToGrid w:val="0"/>
              <w:spacing w:before="72" w:beforeLines="30" w:after="72" w:afterLines="30" w:line="288" w:lineRule="auto"/>
              <w:rPr>
                <w:sz w:val="20"/>
                <w:szCs w:val="20"/>
                <w:lang w:eastAsia="ko-KR"/>
              </w:rPr>
            </w:pPr>
          </w:p>
          <w:p>
            <w:pPr>
              <w:widowControl w:val="0"/>
              <w:tabs>
                <w:tab w:val="left" w:pos="1710"/>
              </w:tabs>
              <w:snapToGrid w:val="0"/>
              <w:spacing w:before="72" w:beforeLines="30" w:after="72" w:afterLines="30" w:line="288" w:lineRule="auto"/>
              <w:rPr>
                <w:b/>
                <w:bCs/>
                <w:sz w:val="20"/>
                <w:szCs w:val="20"/>
                <w:u w:val="single"/>
              </w:rPr>
            </w:pPr>
            <w:r>
              <w:rPr>
                <w:b/>
                <w:bCs/>
                <w:sz w:val="20"/>
                <w:szCs w:val="20"/>
                <w:u w:val="single"/>
              </w:rPr>
              <w:t>Agreement</w:t>
            </w:r>
            <w:r>
              <w:rPr>
                <w:rFonts w:hint="eastAsia"/>
                <w:b/>
                <w:bCs/>
                <w:sz w:val="20"/>
                <w:szCs w:val="20"/>
                <w:u w:val="single"/>
              </w:rPr>
              <w:t>:</w:t>
            </w:r>
          </w:p>
          <w:p>
            <w:pPr>
              <w:widowControl w:val="0"/>
              <w:numPr>
                <w:ilvl w:val="0"/>
                <w:numId w:val="12"/>
              </w:numPr>
              <w:tabs>
                <w:tab w:val="left" w:pos="720"/>
                <w:tab w:val="left" w:pos="1710"/>
              </w:tabs>
              <w:snapToGrid w:val="0"/>
              <w:spacing w:before="72" w:beforeLines="30" w:after="72" w:afterLines="30" w:line="288" w:lineRule="auto"/>
              <w:contextualSpacing/>
              <w:rPr>
                <w:sz w:val="20"/>
                <w:szCs w:val="20"/>
              </w:rPr>
            </w:pPr>
            <w:r>
              <w:rPr>
                <w:sz w:val="20"/>
                <w:szCs w:val="20"/>
              </w:rPr>
              <w:t>Companies report the pattern of Set B.</w:t>
            </w:r>
          </w:p>
          <w:p>
            <w:pPr>
              <w:widowControl w:val="0"/>
              <w:numPr>
                <w:ilvl w:val="0"/>
                <w:numId w:val="12"/>
              </w:numPr>
              <w:tabs>
                <w:tab w:val="left" w:pos="720"/>
                <w:tab w:val="left" w:pos="1710"/>
              </w:tabs>
              <w:snapToGrid w:val="0"/>
              <w:spacing w:before="72" w:beforeLines="30" w:after="72" w:afterLines="30" w:line="288" w:lineRule="auto"/>
              <w:contextualSpacing/>
              <w:rPr>
                <w:sz w:val="20"/>
                <w:szCs w:val="20"/>
              </w:rPr>
            </w:pPr>
            <w:r>
              <w:rPr>
                <w:sz w:val="20"/>
                <w:szCs w:val="20"/>
              </w:rPr>
              <w:t xml:space="preserve">Further study the performance with different patterns of set B(s) for fixed Set B (Option 1) and different pre-configured/pre-known patterns of Set B(s) (Option 2A and 2B). </w:t>
            </w:r>
          </w:p>
        </w:tc>
      </w:tr>
    </w:tbl>
    <w:p>
      <w:pPr>
        <w:widowControl w:val="0"/>
        <w:snapToGrid w:val="0"/>
        <w:spacing w:before="72" w:beforeLines="30" w:after="72" w:afterLines="30" w:line="288" w:lineRule="auto"/>
        <w:jc w:val="both"/>
        <w:rPr>
          <w:bCs/>
          <w:sz w:val="20"/>
          <w:szCs w:val="20"/>
        </w:rPr>
      </w:pPr>
      <w:r>
        <w:rPr>
          <w:rFonts w:hint="eastAsia"/>
          <w:sz w:val="20"/>
          <w:szCs w:val="20"/>
        </w:rPr>
        <w:t xml:space="preserve">In this section, performance comparison with different patterns of Set B is conducted. In addition, in order to evaluate the performance impact of beam prediction when Set B is changed among a set of beams (pairs) for measurement (i.e., Set C), only RSRPs of Set B, which are subset of Set C, are used as </w:t>
      </w:r>
      <w:r>
        <w:rPr>
          <w:rFonts w:hint="eastAsia"/>
          <w:sz w:val="20"/>
          <w:szCs w:val="20"/>
          <w:lang w:eastAsia="zh-CN"/>
        </w:rPr>
        <w:t xml:space="preserve">AI/ML model </w:t>
      </w:r>
      <w:r>
        <w:rPr>
          <w:rFonts w:hint="eastAsia"/>
          <w:sz w:val="20"/>
          <w:szCs w:val="20"/>
        </w:rPr>
        <w:t xml:space="preserve">inputs. In other words, UE </w:t>
      </w:r>
      <w:r>
        <w:rPr>
          <w:rFonts w:hint="eastAsia"/>
          <w:sz w:val="20"/>
          <w:szCs w:val="20"/>
          <w:lang w:val="en-GB" w:eastAsia="ja-JP"/>
        </w:rPr>
        <w:t xml:space="preserve">only reports </w:t>
      </w:r>
      <w:r>
        <w:rPr>
          <w:rFonts w:hint="eastAsia"/>
          <w:sz w:val="20"/>
          <w:szCs w:val="20"/>
        </w:rPr>
        <w:t xml:space="preserve">a subset of Set C (e.g., Top-4, Top-8, or Top-16 of the RSRPs of Set C), which </w:t>
      </w:r>
      <w:r>
        <w:rPr>
          <w:rFonts w:hint="eastAsia"/>
          <w:sz w:val="20"/>
          <w:szCs w:val="20"/>
          <w:lang w:val="en-US" w:eastAsia="zh-CN"/>
        </w:rPr>
        <w:t xml:space="preserve">is fed into </w:t>
      </w:r>
      <w:r>
        <w:rPr>
          <w:rFonts w:hint="eastAsia"/>
          <w:sz w:val="20"/>
          <w:szCs w:val="20"/>
        </w:rPr>
        <w:t>the NW-side model.</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Performance comparison with different pattern of set B(s) for fixed Set B</w:t>
      </w:r>
    </w:p>
    <w:p>
      <w:pPr>
        <w:snapToGrid w:val="0"/>
        <w:spacing w:before="72" w:beforeLines="30" w:after="72" w:afterLines="30" w:line="288" w:lineRule="auto"/>
        <w:jc w:val="both"/>
        <w:rPr>
          <w:sz w:val="20"/>
          <w:szCs w:val="20"/>
        </w:rPr>
      </w:pPr>
      <w:r>
        <w:rPr>
          <w:rFonts w:hint="eastAsia"/>
          <w:sz w:val="20"/>
          <w:szCs w:val="20"/>
        </w:rPr>
        <w:t xml:space="preserve">In order to evaluate the performance impact resulted from different Set B pattern, six different Set B patterns are designed as showed in Figure 2-2. </w:t>
      </w:r>
      <w:r>
        <w:rPr>
          <w:rFonts w:hint="eastAsia" w:eastAsia="Times New Roman"/>
          <w:sz w:val="20"/>
          <w:szCs w:val="20"/>
        </w:rPr>
        <w:t>T</w:t>
      </w:r>
      <w:r>
        <w:rPr>
          <w:rFonts w:hint="eastAsia" w:eastAsia="Times New Roman"/>
          <w:sz w:val="20"/>
          <w:szCs w:val="20"/>
          <w:lang w:val="en-GB"/>
        </w:rPr>
        <w:t>he sampling rate</w:t>
      </w:r>
      <w:r>
        <w:rPr>
          <w:rFonts w:hint="eastAsia"/>
          <w:sz w:val="20"/>
          <w:szCs w:val="20"/>
        </w:rPr>
        <w:t xml:space="preserve"> of Set B pattern 1/2/3 is 25%, which is two times of that of Set B pattern 4/5/6. Beam pairs prediction and DL Tx beam prediction are conducted by considering the following 12 different simulation cases.</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1-3-1: </w:t>
      </w:r>
      <w:r>
        <w:rPr>
          <w:rFonts w:hint="eastAsia" w:eastAsia="Times New Roman"/>
          <w:sz w:val="20"/>
          <w:szCs w:val="20"/>
        </w:rPr>
        <w:t xml:space="preserve">&lt;T16 R8&gt; case for </w:t>
      </w:r>
      <w:r>
        <w:rPr>
          <w:rFonts w:eastAsia="Times New Roman"/>
          <w:b/>
          <w:bCs/>
          <w:sz w:val="20"/>
          <w:szCs w:val="20"/>
        </w:rPr>
        <w:t>Tx-Rx beam pair prediction</w:t>
      </w:r>
      <w:r>
        <w:rPr>
          <w:rFonts w:hint="eastAsia" w:eastAsia="Times New Roman"/>
          <w:b/>
          <w:bCs/>
          <w:sz w:val="20"/>
          <w:szCs w:val="20"/>
        </w:rPr>
        <w:t>,</w:t>
      </w:r>
      <w:r>
        <w:rPr>
          <w:rFonts w:hint="eastAsia" w:eastAsia="Times New Roman"/>
          <w:sz w:val="20"/>
          <w:szCs w:val="20"/>
        </w:rPr>
        <w:t xml:space="preserve"> where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w:t>
      </w:r>
      <w:r>
        <w:rPr>
          <w:rFonts w:hint="eastAsia"/>
          <w:strike w:val="0"/>
          <w:sz w:val="20"/>
          <w:szCs w:val="20"/>
        </w:rPr>
        <w:t xml:space="preserve">uniform </w:t>
      </w:r>
      <w:r>
        <w:rPr>
          <w:rFonts w:hint="eastAsia"/>
          <w:sz w:val="20"/>
          <w:szCs w:val="20"/>
        </w:rPr>
        <w:t xml:space="preserve">sampling with </w:t>
      </w:r>
      <w:r>
        <w:rPr>
          <w:rFonts w:hint="eastAsia"/>
          <w:b/>
          <w:bCs/>
          <w:sz w:val="20"/>
          <w:szCs w:val="20"/>
        </w:rPr>
        <w:t>Set B pattern 1</w:t>
      </w:r>
      <w:r>
        <w:rPr>
          <w:b/>
          <w:bCs/>
          <w:sz w:val="20"/>
          <w:szCs w:val="20"/>
        </w:rPr>
        <w:t xml:space="preserve"> (</w:t>
      </w:r>
      <w:r>
        <w:rPr>
          <w:rFonts w:hint="eastAsia"/>
          <w:sz w:val="20"/>
          <w:szCs w:val="20"/>
        </w:rPr>
        <w:t>Figure 2-2</w:t>
      </w:r>
      <w:r>
        <w:rPr>
          <w:sz w:val="20"/>
          <w:szCs w:val="20"/>
        </w:rPr>
        <w:t>(a))</w:t>
      </w:r>
      <w:r>
        <w:rPr>
          <w:rFonts w:hint="eastAsia"/>
          <w:sz w:val="20"/>
          <w:szCs w:val="20"/>
        </w:rPr>
        <w:t xml:space="preserve"> </w:t>
      </w:r>
      <w:r>
        <w:rPr>
          <w:rFonts w:hint="eastAsia" w:eastAsia="Times New Roman"/>
          <w:sz w:val="20"/>
          <w:szCs w:val="20"/>
          <w:lang w:val="en-GB"/>
        </w:rPr>
        <w:t xml:space="preserve">are transmitted by the gNB and measured by </w:t>
      </w:r>
      <w:r>
        <w:rPr>
          <w:rFonts w:hint="eastAsia"/>
          <w:sz w:val="20"/>
          <w:szCs w:val="20"/>
        </w:rPr>
        <w:t>all 8</w:t>
      </w:r>
      <w:r>
        <w:rPr>
          <w:rFonts w:hint="eastAsia" w:eastAsia="Times New Roman"/>
          <w:sz w:val="20"/>
          <w:szCs w:val="20"/>
          <w:lang w:val="en-GB"/>
        </w:rPr>
        <w:t xml:space="preserve"> receive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1-3-2: </w:t>
      </w:r>
      <w:r>
        <w:rPr>
          <w:rFonts w:hint="eastAsia" w:eastAsia="Times New Roman"/>
          <w:sz w:val="20"/>
          <w:szCs w:val="20"/>
        </w:rPr>
        <w:t xml:space="preserve">&lt;T16 R8&gt; case for </w:t>
      </w:r>
      <w:r>
        <w:rPr>
          <w:rFonts w:eastAsia="Times New Roman"/>
          <w:b/>
          <w:bCs/>
          <w:sz w:val="20"/>
          <w:szCs w:val="20"/>
        </w:rPr>
        <w:t>Tx-Rx beam pair prediction</w:t>
      </w:r>
      <w:r>
        <w:rPr>
          <w:rFonts w:hint="eastAsia" w:eastAsia="Times New Roman"/>
          <w:sz w:val="20"/>
          <w:szCs w:val="20"/>
        </w:rPr>
        <w:t xml:space="preserve">, where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2</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b</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all 8</w:t>
      </w:r>
      <w:r>
        <w:rPr>
          <w:rFonts w:hint="eastAsia" w:eastAsia="Times New Roman"/>
          <w:sz w:val="20"/>
          <w:szCs w:val="20"/>
          <w:lang w:val="en-GB"/>
        </w:rPr>
        <w:t xml:space="preserve"> receive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1-3-3: </w:t>
      </w:r>
      <w:r>
        <w:rPr>
          <w:rFonts w:hint="eastAsia" w:eastAsia="Times New Roman"/>
          <w:sz w:val="20"/>
          <w:szCs w:val="20"/>
        </w:rPr>
        <w:t xml:space="preserve">&lt;T16 R8&gt; case for </w:t>
      </w:r>
      <w:r>
        <w:rPr>
          <w:rFonts w:eastAsia="Times New Roman"/>
          <w:b/>
          <w:bCs/>
          <w:sz w:val="20"/>
          <w:szCs w:val="20"/>
        </w:rPr>
        <w:t>Tx-Rx beam pair prediction</w:t>
      </w:r>
      <w:r>
        <w:rPr>
          <w:rFonts w:hint="eastAsia" w:eastAsia="Times New Roman"/>
          <w:b/>
          <w:bCs/>
          <w:sz w:val="20"/>
          <w:szCs w:val="20"/>
        </w:rPr>
        <w:t>,</w:t>
      </w:r>
      <w:r>
        <w:rPr>
          <w:rFonts w:hint="eastAsia" w:eastAsia="Times New Roman"/>
          <w:sz w:val="20"/>
          <w:szCs w:val="20"/>
        </w:rPr>
        <w:t xml:space="preserve"> where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3</w:t>
      </w:r>
      <w:r>
        <w:rPr>
          <w:rFonts w:hint="eastAsia"/>
          <w:b/>
          <w:bCs/>
          <w:sz w:val="20"/>
          <w:szCs w:val="20"/>
          <w:lang w:val="en-US" w:eastAsia="zh-CN"/>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c</w:t>
      </w:r>
      <w:r>
        <w:rPr>
          <w:sz w:val="20"/>
          <w:szCs w:val="20"/>
        </w:rPr>
        <w:t>))</w:t>
      </w:r>
      <w:r>
        <w:rPr>
          <w:rFonts w:hint="eastAsia"/>
          <w:sz w:val="20"/>
          <w:szCs w:val="20"/>
          <w:lang w:val="en-US" w:eastAsia="zh-CN"/>
        </w:rPr>
        <w:t xml:space="preserve"> </w:t>
      </w:r>
      <w:r>
        <w:rPr>
          <w:rFonts w:hint="eastAsia"/>
          <w:sz w:val="20"/>
          <w:szCs w:val="20"/>
        </w:rPr>
        <w:t xml:space="preserve"> </w:t>
      </w:r>
      <w:r>
        <w:rPr>
          <w:rFonts w:hint="eastAsia" w:eastAsia="Times New Roman"/>
          <w:sz w:val="20"/>
          <w:szCs w:val="20"/>
          <w:lang w:val="en-GB"/>
        </w:rPr>
        <w:t xml:space="preserve">are transmitted by the gNB and measured by </w:t>
      </w:r>
      <w:r>
        <w:rPr>
          <w:rFonts w:hint="eastAsia"/>
          <w:sz w:val="20"/>
          <w:szCs w:val="20"/>
        </w:rPr>
        <w:t>all 8</w:t>
      </w:r>
      <w:r>
        <w:rPr>
          <w:rFonts w:hint="eastAsia" w:eastAsia="Times New Roman"/>
          <w:sz w:val="20"/>
          <w:szCs w:val="20"/>
          <w:lang w:val="en-GB"/>
        </w:rPr>
        <w:t xml:space="preserve"> receive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1-3-4: </w:t>
      </w:r>
      <w:r>
        <w:rPr>
          <w:rFonts w:hint="eastAsia" w:eastAsia="Times New Roman"/>
          <w:sz w:val="20"/>
          <w:szCs w:val="20"/>
        </w:rPr>
        <w:t xml:space="preserve">&lt;T8 R8&gt; case for </w:t>
      </w:r>
      <w:r>
        <w:rPr>
          <w:rFonts w:eastAsia="Times New Roman"/>
          <w:b/>
          <w:bCs/>
          <w:sz w:val="20"/>
          <w:szCs w:val="20"/>
        </w:rPr>
        <w:t>Tx-Rx beam pair prediction</w:t>
      </w:r>
      <w:r>
        <w:rPr>
          <w:rFonts w:hint="eastAsia" w:eastAsia="Times New Roman"/>
          <w:sz w:val="20"/>
          <w:szCs w:val="20"/>
        </w:rPr>
        <w:t xml:space="preserve">, where </w:t>
      </w:r>
      <w:r>
        <w:rPr>
          <w:rFonts w:hint="eastAsia"/>
          <w:sz w:val="20"/>
          <w:szCs w:val="20"/>
        </w:rPr>
        <w:t xml:space="preserve">8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4</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d</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all 8</w:t>
      </w:r>
      <w:r>
        <w:rPr>
          <w:rFonts w:hint="eastAsia" w:eastAsia="Times New Roman"/>
          <w:sz w:val="20"/>
          <w:szCs w:val="20"/>
          <w:lang w:val="en-GB"/>
        </w:rPr>
        <w:t xml:space="preserve"> receive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1-3-5: </w:t>
      </w:r>
      <w:r>
        <w:rPr>
          <w:rFonts w:hint="eastAsia" w:eastAsia="Times New Roman"/>
          <w:sz w:val="20"/>
          <w:szCs w:val="20"/>
        </w:rPr>
        <w:t xml:space="preserve">&lt;T8 R8&gt; case for </w:t>
      </w:r>
      <w:r>
        <w:rPr>
          <w:rFonts w:eastAsia="Times New Roman"/>
          <w:b/>
          <w:bCs/>
          <w:sz w:val="20"/>
          <w:szCs w:val="20"/>
        </w:rPr>
        <w:t>Tx-Rx beam pair prediction</w:t>
      </w:r>
      <w:r>
        <w:rPr>
          <w:rFonts w:hint="eastAsia" w:eastAsia="Times New Roman"/>
          <w:sz w:val="20"/>
          <w:szCs w:val="20"/>
        </w:rPr>
        <w:t xml:space="preserve">, where </w:t>
      </w:r>
      <w:r>
        <w:rPr>
          <w:rFonts w:hint="eastAsia"/>
          <w:sz w:val="20"/>
          <w:szCs w:val="20"/>
        </w:rPr>
        <w:t xml:space="preserve">8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5</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e</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all 8</w:t>
      </w:r>
      <w:r>
        <w:rPr>
          <w:rFonts w:hint="eastAsia" w:eastAsia="Times New Roman"/>
          <w:sz w:val="20"/>
          <w:szCs w:val="20"/>
          <w:lang w:val="en-GB"/>
        </w:rPr>
        <w:t xml:space="preserve"> receive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1-3-6: </w:t>
      </w:r>
      <w:r>
        <w:rPr>
          <w:rFonts w:hint="eastAsia" w:eastAsia="Times New Roman"/>
          <w:sz w:val="20"/>
          <w:szCs w:val="20"/>
        </w:rPr>
        <w:t xml:space="preserve">&lt;T8 R8&gt; case for </w:t>
      </w:r>
      <w:r>
        <w:rPr>
          <w:rFonts w:eastAsia="Times New Roman"/>
          <w:b/>
          <w:bCs/>
          <w:sz w:val="20"/>
          <w:szCs w:val="20"/>
        </w:rPr>
        <w:t>Tx-Rx beam pair prediction</w:t>
      </w:r>
      <w:r>
        <w:rPr>
          <w:rFonts w:hint="eastAsia" w:eastAsia="Times New Roman"/>
          <w:sz w:val="20"/>
          <w:szCs w:val="20"/>
        </w:rPr>
        <w:t xml:space="preserve">, where </w:t>
      </w:r>
      <w:r>
        <w:rPr>
          <w:rFonts w:hint="eastAsia"/>
          <w:sz w:val="20"/>
          <w:szCs w:val="20"/>
        </w:rPr>
        <w:t xml:space="preserve">8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6</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f</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all 8</w:t>
      </w:r>
      <w:r>
        <w:rPr>
          <w:rFonts w:hint="eastAsia" w:eastAsia="Times New Roman"/>
          <w:sz w:val="20"/>
          <w:szCs w:val="20"/>
          <w:lang w:val="en-GB"/>
        </w:rPr>
        <w:t xml:space="preserve"> receive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1-3-7: </w:t>
      </w:r>
      <w:r>
        <w:rPr>
          <w:rFonts w:hint="eastAsia" w:eastAsia="Times New Roman"/>
          <w:sz w:val="20"/>
          <w:szCs w:val="20"/>
        </w:rPr>
        <w:t xml:space="preserve">&lt;T16 R1&gt; case for </w:t>
      </w:r>
      <w:r>
        <w:rPr>
          <w:rFonts w:hint="eastAsia" w:eastAsia="Times New Roman"/>
          <w:b/>
          <w:bCs/>
          <w:sz w:val="20"/>
          <w:szCs w:val="20"/>
        </w:rPr>
        <w:t>DL Tx beam</w:t>
      </w:r>
      <w:r>
        <w:rPr>
          <w:rFonts w:eastAsia="Times New Roman"/>
          <w:b/>
          <w:bCs/>
          <w:sz w:val="20"/>
          <w:szCs w:val="20"/>
        </w:rPr>
        <w:t xml:space="preserve"> prediction</w:t>
      </w:r>
      <w:r>
        <w:rPr>
          <w:rFonts w:hint="eastAsia" w:eastAsia="Times New Roman"/>
          <w:b/>
          <w:bCs/>
          <w:sz w:val="20"/>
          <w:szCs w:val="20"/>
        </w:rPr>
        <w:t>,</w:t>
      </w:r>
      <w:r>
        <w:rPr>
          <w:rFonts w:hint="eastAsia" w:eastAsia="Times New Roman"/>
          <w:sz w:val="20"/>
          <w:szCs w:val="20"/>
        </w:rPr>
        <w:t xml:space="preserve"> where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1</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a</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 xml:space="preserve">the optimal Rx beam </w:t>
      </w:r>
      <w:r>
        <w:rPr>
          <w:rFonts w:hint="eastAsia" w:eastAsia="Times New Roman"/>
          <w:sz w:val="20"/>
          <w:szCs w:val="20"/>
          <w:lang w:val="en-GB"/>
        </w:rPr>
        <w:t>in the UE</w:t>
      </w:r>
      <w:r>
        <w:rPr>
          <w:rFonts w:hint="eastAsia"/>
          <w:sz w:val="20"/>
          <w:szCs w:val="20"/>
        </w:rPr>
        <w:t xml:space="preserve"> (i.e., Rx beam assumption 3).</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1-3-8: </w:t>
      </w:r>
      <w:r>
        <w:rPr>
          <w:rFonts w:hint="eastAsia" w:eastAsia="Times New Roman"/>
          <w:sz w:val="20"/>
          <w:szCs w:val="20"/>
        </w:rPr>
        <w:t xml:space="preserve">&lt;T16 R1&gt; case for </w:t>
      </w:r>
      <w:r>
        <w:rPr>
          <w:rFonts w:hint="eastAsia" w:eastAsia="Times New Roman"/>
          <w:b/>
          <w:bCs/>
          <w:sz w:val="20"/>
          <w:szCs w:val="20"/>
        </w:rPr>
        <w:t>DL Tx beam</w:t>
      </w:r>
      <w:r>
        <w:rPr>
          <w:rFonts w:eastAsia="Times New Roman"/>
          <w:b/>
          <w:bCs/>
          <w:sz w:val="20"/>
          <w:szCs w:val="20"/>
        </w:rPr>
        <w:t xml:space="preserve"> prediction</w:t>
      </w:r>
      <w:r>
        <w:rPr>
          <w:rFonts w:hint="eastAsia" w:eastAsia="Times New Roman"/>
          <w:sz w:val="20"/>
          <w:szCs w:val="20"/>
        </w:rPr>
        <w:t xml:space="preserve">, where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2</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b</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 xml:space="preserve">the optimal Rx beam </w:t>
      </w:r>
      <w:r>
        <w:rPr>
          <w:rFonts w:hint="eastAsia" w:eastAsia="Times New Roman"/>
          <w:sz w:val="20"/>
          <w:szCs w:val="20"/>
          <w:lang w:val="en-GB"/>
        </w:rPr>
        <w:t>in the UE</w:t>
      </w:r>
      <w:r>
        <w:rPr>
          <w:rFonts w:hint="eastAsia"/>
          <w:sz w:val="20"/>
          <w:szCs w:val="20"/>
        </w:rPr>
        <w:t xml:space="preserve"> (i.e., Rx beam assumption 3).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1-3-9: </w:t>
      </w:r>
      <w:r>
        <w:rPr>
          <w:rFonts w:hint="eastAsia" w:eastAsia="Times New Roman"/>
          <w:sz w:val="20"/>
          <w:szCs w:val="20"/>
        </w:rPr>
        <w:t xml:space="preserve">&lt;T16 R1&gt; case for </w:t>
      </w:r>
      <w:r>
        <w:rPr>
          <w:rFonts w:hint="eastAsia" w:eastAsia="Times New Roman"/>
          <w:b/>
          <w:bCs/>
          <w:sz w:val="20"/>
          <w:szCs w:val="20"/>
        </w:rPr>
        <w:t>DL Tx beam</w:t>
      </w:r>
      <w:r>
        <w:rPr>
          <w:rFonts w:eastAsia="Times New Roman"/>
          <w:b/>
          <w:bCs/>
          <w:sz w:val="20"/>
          <w:szCs w:val="20"/>
        </w:rPr>
        <w:t xml:space="preserve"> prediction</w:t>
      </w:r>
      <w:r>
        <w:rPr>
          <w:rFonts w:hint="eastAsia" w:eastAsia="Times New Roman"/>
          <w:sz w:val="20"/>
          <w:szCs w:val="20"/>
        </w:rPr>
        <w:t xml:space="preserve">, where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3</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c</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 xml:space="preserve">the optimal Rx beam </w:t>
      </w:r>
      <w:r>
        <w:rPr>
          <w:rFonts w:hint="eastAsia" w:eastAsia="Times New Roman"/>
          <w:sz w:val="20"/>
          <w:szCs w:val="20"/>
          <w:lang w:val="en-GB"/>
        </w:rPr>
        <w:t>in the UE</w:t>
      </w:r>
      <w:r>
        <w:rPr>
          <w:rFonts w:hint="eastAsia"/>
          <w:sz w:val="20"/>
          <w:szCs w:val="20"/>
        </w:rPr>
        <w:t xml:space="preserve"> (i.e., Rx beam assumption 3).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1-3-10: </w:t>
      </w:r>
      <w:r>
        <w:rPr>
          <w:rFonts w:hint="eastAsia" w:eastAsia="Times New Roman"/>
          <w:sz w:val="20"/>
          <w:szCs w:val="20"/>
        </w:rPr>
        <w:t xml:space="preserve">&lt;T8 R1&gt; case for </w:t>
      </w:r>
      <w:r>
        <w:rPr>
          <w:rFonts w:hint="eastAsia" w:eastAsia="Times New Roman"/>
          <w:b/>
          <w:bCs/>
          <w:sz w:val="20"/>
          <w:szCs w:val="20"/>
        </w:rPr>
        <w:t>DL Tx beam</w:t>
      </w:r>
      <w:r>
        <w:rPr>
          <w:rFonts w:eastAsia="Times New Roman"/>
          <w:b/>
          <w:bCs/>
          <w:sz w:val="20"/>
          <w:szCs w:val="20"/>
        </w:rPr>
        <w:t xml:space="preserve"> prediction</w:t>
      </w:r>
      <w:r>
        <w:rPr>
          <w:rFonts w:hint="eastAsia" w:eastAsia="Times New Roman"/>
          <w:sz w:val="20"/>
          <w:szCs w:val="20"/>
        </w:rPr>
        <w:t xml:space="preserve">, where </w:t>
      </w:r>
      <w:r>
        <w:rPr>
          <w:rFonts w:hint="eastAsia"/>
          <w:sz w:val="20"/>
          <w:szCs w:val="20"/>
        </w:rPr>
        <w:t xml:space="preserve">8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4</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d</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 xml:space="preserve">the optimal Rx beam </w:t>
      </w:r>
      <w:r>
        <w:rPr>
          <w:rFonts w:hint="eastAsia" w:eastAsia="Times New Roman"/>
          <w:sz w:val="20"/>
          <w:szCs w:val="20"/>
          <w:lang w:val="en-GB"/>
        </w:rPr>
        <w:t>in the UE</w:t>
      </w:r>
      <w:r>
        <w:rPr>
          <w:rFonts w:hint="eastAsia"/>
          <w:sz w:val="20"/>
          <w:szCs w:val="20"/>
        </w:rPr>
        <w:t xml:space="preserve"> (i.e., Rx beam assumption 3).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1-3-11: </w:t>
      </w:r>
      <w:r>
        <w:rPr>
          <w:rFonts w:hint="eastAsia" w:eastAsia="Times New Roman"/>
          <w:sz w:val="20"/>
          <w:szCs w:val="20"/>
        </w:rPr>
        <w:t xml:space="preserve">&lt;T8 R1&gt; case for </w:t>
      </w:r>
      <w:r>
        <w:rPr>
          <w:rFonts w:hint="eastAsia" w:eastAsia="Times New Roman"/>
          <w:b/>
          <w:bCs/>
          <w:sz w:val="20"/>
          <w:szCs w:val="20"/>
        </w:rPr>
        <w:t>DL Tx beam</w:t>
      </w:r>
      <w:r>
        <w:rPr>
          <w:rFonts w:eastAsia="Times New Roman"/>
          <w:b/>
          <w:bCs/>
          <w:sz w:val="20"/>
          <w:szCs w:val="20"/>
        </w:rPr>
        <w:t xml:space="preserve"> prediction</w:t>
      </w:r>
      <w:r>
        <w:rPr>
          <w:rFonts w:hint="eastAsia" w:eastAsia="Times New Roman"/>
          <w:sz w:val="20"/>
          <w:szCs w:val="20"/>
        </w:rPr>
        <w:t xml:space="preserve">, where </w:t>
      </w:r>
      <w:r>
        <w:rPr>
          <w:rFonts w:hint="eastAsia"/>
          <w:sz w:val="20"/>
          <w:szCs w:val="20"/>
        </w:rPr>
        <w:t xml:space="preserve">8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5</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e</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 xml:space="preserve">the optimal Rx beam </w:t>
      </w:r>
      <w:r>
        <w:rPr>
          <w:rFonts w:hint="eastAsia" w:eastAsia="Times New Roman"/>
          <w:sz w:val="20"/>
          <w:szCs w:val="20"/>
          <w:lang w:val="en-GB"/>
        </w:rPr>
        <w:t>in the UE</w:t>
      </w:r>
      <w:r>
        <w:rPr>
          <w:rFonts w:hint="eastAsia"/>
          <w:sz w:val="20"/>
          <w:szCs w:val="20"/>
        </w:rPr>
        <w:t xml:space="preserve"> (i.e., Rx beam assumption 3). </w:t>
      </w:r>
    </w:p>
    <w:p>
      <w:pPr>
        <w:numPr>
          <w:ilvl w:val="0"/>
          <w:numId w:val="11"/>
        </w:numPr>
        <w:snapToGrid w:val="0"/>
        <w:spacing w:before="72" w:beforeLines="30" w:after="72" w:afterLines="30" w:line="288" w:lineRule="auto"/>
        <w:jc w:val="both"/>
        <w:rPr>
          <w:b/>
          <w:sz w:val="20"/>
          <w:szCs w:val="20"/>
        </w:rPr>
      </w:pPr>
      <w:r>
        <w:rPr>
          <w:rFonts w:hint="eastAsia" w:eastAsia="Times New Roman"/>
          <w:b/>
          <w:bCs/>
          <w:sz w:val="20"/>
          <w:szCs w:val="20"/>
        </w:rPr>
        <w:t xml:space="preserve">Case 1-3-12: </w:t>
      </w:r>
      <w:r>
        <w:rPr>
          <w:rFonts w:hint="eastAsia" w:eastAsia="Times New Roman"/>
          <w:sz w:val="20"/>
          <w:szCs w:val="20"/>
        </w:rPr>
        <w:t xml:space="preserve">&lt;T8 R1&gt; case for </w:t>
      </w:r>
      <w:r>
        <w:rPr>
          <w:rFonts w:hint="eastAsia" w:eastAsia="Times New Roman"/>
          <w:b/>
          <w:bCs/>
          <w:sz w:val="20"/>
          <w:szCs w:val="20"/>
        </w:rPr>
        <w:t>DL Tx beam</w:t>
      </w:r>
      <w:r>
        <w:rPr>
          <w:rFonts w:eastAsia="Times New Roman"/>
          <w:b/>
          <w:bCs/>
          <w:sz w:val="20"/>
          <w:szCs w:val="20"/>
        </w:rPr>
        <w:t xml:space="preserve"> prediction</w:t>
      </w:r>
      <w:r>
        <w:rPr>
          <w:rFonts w:hint="eastAsia" w:eastAsia="Times New Roman"/>
          <w:sz w:val="20"/>
          <w:szCs w:val="20"/>
        </w:rPr>
        <w:t xml:space="preserve">, where </w:t>
      </w:r>
      <w:r>
        <w:rPr>
          <w:rFonts w:hint="eastAsia"/>
          <w:sz w:val="20"/>
          <w:szCs w:val="20"/>
        </w:rPr>
        <w:t xml:space="preserve">8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w:t>
      </w:r>
      <w:r>
        <w:rPr>
          <w:rFonts w:hint="eastAsia"/>
          <w:b/>
          <w:bCs/>
          <w:sz w:val="20"/>
          <w:szCs w:val="20"/>
        </w:rPr>
        <w:t>Set B pattern 6</w:t>
      </w:r>
      <w:r>
        <w:rPr>
          <w:rFonts w:hint="eastAsia"/>
          <w:sz w:val="20"/>
          <w:szCs w:val="20"/>
        </w:rPr>
        <w:t xml:space="preserve"> </w:t>
      </w:r>
      <w:r>
        <w:rPr>
          <w:b/>
          <w:bCs/>
          <w:sz w:val="20"/>
          <w:szCs w:val="20"/>
        </w:rPr>
        <w:t>(</w:t>
      </w:r>
      <w:r>
        <w:rPr>
          <w:rFonts w:hint="eastAsia"/>
          <w:sz w:val="20"/>
          <w:szCs w:val="20"/>
        </w:rPr>
        <w:t>Figure 2-2</w:t>
      </w:r>
      <w:r>
        <w:rPr>
          <w:sz w:val="20"/>
          <w:szCs w:val="20"/>
        </w:rPr>
        <w:t>(</w:t>
      </w:r>
      <w:r>
        <w:rPr>
          <w:rFonts w:hint="eastAsia"/>
          <w:sz w:val="20"/>
          <w:szCs w:val="20"/>
          <w:lang w:val="en-US" w:eastAsia="zh-CN"/>
        </w:rPr>
        <w:t>f</w:t>
      </w:r>
      <w:r>
        <w:rPr>
          <w:sz w:val="20"/>
          <w:szCs w:val="20"/>
        </w:rPr>
        <w:t>))</w:t>
      </w:r>
      <w:r>
        <w:rPr>
          <w:rFonts w:hint="eastAsia"/>
          <w:sz w:val="20"/>
          <w:szCs w:val="20"/>
          <w:lang w:val="en-US" w:eastAsia="zh-CN"/>
        </w:rPr>
        <w:t xml:space="preserve"> </w:t>
      </w:r>
      <w:r>
        <w:rPr>
          <w:rFonts w:hint="eastAsia" w:eastAsia="Times New Roman"/>
          <w:sz w:val="20"/>
          <w:szCs w:val="20"/>
          <w:lang w:val="en-GB"/>
        </w:rPr>
        <w:t xml:space="preserve">are transmitted by the gNB and measured by </w:t>
      </w:r>
      <w:r>
        <w:rPr>
          <w:rFonts w:hint="eastAsia"/>
          <w:sz w:val="20"/>
          <w:szCs w:val="20"/>
        </w:rPr>
        <w:t xml:space="preserve">the optimal Rx beam </w:t>
      </w:r>
      <w:r>
        <w:rPr>
          <w:rFonts w:hint="eastAsia" w:eastAsia="Times New Roman"/>
          <w:sz w:val="20"/>
          <w:szCs w:val="20"/>
          <w:lang w:val="en-GB"/>
        </w:rPr>
        <w:t>in the UE</w:t>
      </w:r>
      <w:r>
        <w:rPr>
          <w:rFonts w:hint="eastAsia"/>
          <w:sz w:val="20"/>
          <w:szCs w:val="20"/>
        </w:rPr>
        <w:t xml:space="preserve"> (i.e., Rx beam assumption 3). </w:t>
      </w:r>
    </w:p>
    <w:p>
      <w:pPr>
        <w:widowControl w:val="0"/>
        <w:snapToGrid w:val="0"/>
        <w:spacing w:before="72" w:beforeLines="30" w:after="72" w:afterLines="30" w:line="288" w:lineRule="auto"/>
        <w:jc w:val="center"/>
        <w:rPr>
          <w:sz w:val="21"/>
          <w:szCs w:val="21"/>
        </w:rPr>
      </w:pPr>
      <w:r>
        <w:rPr>
          <w:rFonts w:hint="eastAsia"/>
          <w:sz w:val="20"/>
          <w:szCs w:val="20"/>
        </w:rPr>
        <w:object>
          <v:shape id="_x0000_i1026" o:spt="75" type="#_x0000_t75" style="height:93.5pt;width:335.5pt;" o:ole="t" filled="f" o:preferrelative="t" stroked="f" coordsize="21600,21600">
            <v:path/>
            <v:fill on="f" focussize="0,0"/>
            <v:stroke on="f" joinstyle="miter"/>
            <v:imagedata r:id="rId9" o:title=""/>
            <o:lock v:ext="edit" aspectratio="f"/>
            <w10:wrap type="none"/>
            <w10:anchorlock/>
          </v:shape>
          <o:OLEObject Type="Embed" ProgID="Visio.Drawing.15" ShapeID="_x0000_i1026" DrawAspect="Content" ObjectID="_1468075725" r:id="rId8">
            <o:LockedField>false</o:LockedField>
          </o:OLEObject>
        </w:object>
      </w:r>
    </w:p>
    <w:p>
      <w:pPr>
        <w:widowControl w:val="0"/>
        <w:snapToGrid w:val="0"/>
        <w:spacing w:before="72" w:beforeLines="30" w:after="72" w:afterLines="30" w:line="288" w:lineRule="auto"/>
        <w:jc w:val="center"/>
        <w:rPr>
          <w:sz w:val="21"/>
          <w:szCs w:val="21"/>
        </w:rPr>
      </w:pPr>
      <w:r>
        <w:rPr>
          <w:rFonts w:hint="eastAsia"/>
          <w:sz w:val="21"/>
          <w:szCs w:val="21"/>
        </w:rPr>
        <w:object>
          <v:shape id="_x0000_i1027" o:spt="75" type="#_x0000_t75" style="height:93.5pt;width:335.5pt;" o:ole="t" filled="f" o:preferrelative="t" stroked="f" coordsize="21600,21600">
            <v:path/>
            <v:fill on="f" focussize="0,0"/>
            <v:stroke on="f" joinstyle="miter"/>
            <v:imagedata r:id="rId11" o:title=""/>
            <o:lock v:ext="edit" aspectratio="f"/>
            <w10:wrap type="none"/>
            <w10:anchorlock/>
          </v:shape>
          <o:OLEObject Type="Embed" ProgID="Visio.Drawing.15" ShapeID="_x0000_i1027" DrawAspect="Content" ObjectID="_1468075726" r:id="rId10">
            <o:LockedField>false</o:LockedField>
          </o:OLEObject>
        </w:object>
      </w:r>
    </w:p>
    <w:p>
      <w:pPr>
        <w:widowControl w:val="0"/>
        <w:snapToGrid w:val="0"/>
        <w:spacing w:before="72" w:beforeLines="30" w:after="72" w:afterLines="30" w:line="288" w:lineRule="auto"/>
        <w:jc w:val="center"/>
        <w:rPr>
          <w:sz w:val="21"/>
          <w:szCs w:val="21"/>
        </w:rPr>
      </w:pPr>
      <w:r>
        <w:rPr>
          <w:rFonts w:hint="eastAsia"/>
          <w:sz w:val="21"/>
          <w:szCs w:val="21"/>
        </w:rPr>
        <w:object>
          <v:shape id="_x0000_i1028" o:spt="75" type="#_x0000_t75" style="height:93.5pt;width:335.5pt;" o:ole="t" filled="f" o:preferrelative="t" stroked="f" coordsize="21600,21600">
            <v:path/>
            <v:fill on="f" focussize="0,0"/>
            <v:stroke on="f" joinstyle="miter"/>
            <v:imagedata r:id="rId13" o:title=""/>
            <o:lock v:ext="edit" aspectratio="f"/>
            <w10:wrap type="none"/>
            <w10:anchorlock/>
          </v:shape>
          <o:OLEObject Type="Embed" ProgID="Visio.Drawing.15" ShapeID="_x0000_i1028" DrawAspect="Content" ObjectID="_1468075727" r:id="rId12">
            <o:LockedField>false</o:LockedField>
          </o:OLEObject>
        </w:object>
      </w:r>
    </w:p>
    <w:p>
      <w:pPr>
        <w:widowControl w:val="0"/>
        <w:snapToGrid w:val="0"/>
        <w:spacing w:before="72" w:beforeLines="30" w:after="72" w:afterLines="30" w:line="288" w:lineRule="auto"/>
        <w:jc w:val="center"/>
        <w:rPr>
          <w:sz w:val="21"/>
          <w:szCs w:val="21"/>
        </w:rPr>
      </w:pPr>
    </w:p>
    <w:p>
      <w:pPr>
        <w:widowControl w:val="0"/>
        <w:snapToGrid w:val="0"/>
        <w:spacing w:before="72" w:beforeLines="30" w:after="72" w:afterLines="30" w:line="288" w:lineRule="auto"/>
        <w:jc w:val="center"/>
        <w:rPr>
          <w:sz w:val="21"/>
          <w:szCs w:val="21"/>
        </w:rPr>
      </w:pPr>
      <w:r>
        <w:rPr>
          <w:rFonts w:hint="eastAsia"/>
          <w:sz w:val="21"/>
          <w:szCs w:val="21"/>
        </w:rPr>
        <w:object>
          <v:shape id="_x0000_i1029" o:spt="75" type="#_x0000_t75" style="height:93.5pt;width:335.5pt;" o:ole="t" filled="f" o:preferrelative="t" stroked="f" coordsize="21600,21600">
            <v:path/>
            <v:fill on="f" focussize="0,0"/>
            <v:stroke on="f" joinstyle="miter"/>
            <v:imagedata r:id="rId15" o:title=""/>
            <o:lock v:ext="edit" aspectratio="f"/>
            <w10:wrap type="none"/>
            <w10:anchorlock/>
          </v:shape>
          <o:OLEObject Type="Embed" ProgID="Visio.Drawing.15" ShapeID="_x0000_i1029" DrawAspect="Content" ObjectID="_1468075728" r:id="rId14">
            <o:LockedField>false</o:LockedField>
          </o:OLEObject>
        </w:object>
      </w:r>
    </w:p>
    <w:p>
      <w:pPr>
        <w:jc w:val="center"/>
      </w:pPr>
      <w:r>
        <w:rPr>
          <w:rFonts w:hint="eastAsia"/>
          <w:sz w:val="21"/>
          <w:szCs w:val="21"/>
        </w:rPr>
        <w:object>
          <v:shape id="_x0000_i1030" o:spt="75" type="#_x0000_t75" style="height:93.5pt;width:335.5pt;" o:ole="t" filled="f" o:preferrelative="t" stroked="f" coordsize="21600,21600">
            <v:path/>
            <v:fill on="f" focussize="0,0"/>
            <v:stroke on="f" joinstyle="miter"/>
            <v:imagedata r:id="rId17" o:title=""/>
            <o:lock v:ext="edit" aspectratio="f"/>
            <w10:wrap type="none"/>
            <w10:anchorlock/>
          </v:shape>
          <o:OLEObject Type="Embed" ProgID="Visio.Drawing.15" ShapeID="_x0000_i1030" DrawAspect="Content" ObjectID="_1468075729" r:id="rId16">
            <o:LockedField>false</o:LockedField>
          </o:OLEObject>
        </w:object>
      </w:r>
    </w:p>
    <w:p>
      <w:pPr>
        <w:jc w:val="center"/>
      </w:pPr>
      <w:r>
        <w:rPr>
          <w:rFonts w:hint="eastAsia"/>
          <w:sz w:val="21"/>
          <w:szCs w:val="21"/>
        </w:rPr>
        <w:object>
          <v:shape id="_x0000_i1031" o:spt="75" type="#_x0000_t75" style="height:93.5pt;width:335.5pt;" o:ole="t" filled="f" o:preferrelative="t" stroked="f" coordsize="21600,21600">
            <v:path/>
            <v:fill on="f" focussize="0,0"/>
            <v:stroke on="f" joinstyle="miter"/>
            <v:imagedata r:id="rId19" o:title=""/>
            <o:lock v:ext="edit" aspectratio="f"/>
            <w10:wrap type="none"/>
            <w10:anchorlock/>
          </v:shape>
          <o:OLEObject Type="Embed" ProgID="Visio.Drawing.15" ShapeID="_x0000_i1031" DrawAspect="Content" ObjectID="_1468075730" r:id="rId18">
            <o:LockedField>false</o:LockedField>
          </o:OLEObject>
        </w:object>
      </w:r>
    </w:p>
    <w:p>
      <w:pPr>
        <w:snapToGrid w:val="0"/>
        <w:spacing w:before="72" w:beforeLines="30" w:after="72" w:afterLines="30" w:line="288" w:lineRule="auto"/>
        <w:jc w:val="center"/>
        <w:rPr>
          <w:sz w:val="20"/>
          <w:szCs w:val="20"/>
        </w:rPr>
      </w:pPr>
      <w:r>
        <w:rPr>
          <w:rFonts w:hint="eastAsia" w:eastAsia="Times New Roman"/>
          <w:sz w:val="20"/>
          <w:szCs w:val="20"/>
          <w:lang w:val="en-GB"/>
        </w:rPr>
        <w:t xml:space="preserve">Figure </w:t>
      </w:r>
      <w:r>
        <w:rPr>
          <w:rFonts w:hint="eastAsia"/>
          <w:sz w:val="20"/>
          <w:szCs w:val="20"/>
        </w:rPr>
        <w:t>2</w:t>
      </w:r>
      <w:r>
        <w:rPr>
          <w:rFonts w:hint="eastAsia" w:eastAsia="Times New Roman"/>
          <w:sz w:val="20"/>
          <w:szCs w:val="20"/>
          <w:lang w:val="en-GB"/>
        </w:rPr>
        <w:t>-</w:t>
      </w:r>
      <w:r>
        <w:rPr>
          <w:rFonts w:hint="eastAsia"/>
          <w:sz w:val="20"/>
          <w:szCs w:val="20"/>
        </w:rPr>
        <w:t>2</w:t>
      </w:r>
      <w:r>
        <w:rPr>
          <w:rFonts w:hint="eastAsia" w:eastAsia="Times New Roman"/>
          <w:sz w:val="20"/>
          <w:szCs w:val="20"/>
          <w:lang w:val="en-GB"/>
        </w:rPr>
        <w:t xml:space="preserve">. Illustration of </w:t>
      </w:r>
      <w:r>
        <w:rPr>
          <w:rFonts w:hint="eastAsia"/>
          <w:sz w:val="20"/>
          <w:szCs w:val="20"/>
        </w:rPr>
        <w:t>different Set B patterns</w:t>
      </w:r>
      <w:r>
        <w:rPr>
          <w:rFonts w:hint="eastAsia" w:eastAsia="Times New Roman"/>
          <w:sz w:val="20"/>
          <w:szCs w:val="20"/>
          <w:lang w:val="en-GB"/>
        </w:rPr>
        <w:t>.</w:t>
      </w:r>
    </w:p>
    <w:p>
      <w:pPr>
        <w:snapToGrid w:val="0"/>
        <w:spacing w:before="72" w:beforeLines="30" w:after="72" w:afterLines="30" w:line="288" w:lineRule="auto"/>
        <w:jc w:val="both"/>
        <w:rPr>
          <w:sz w:val="20"/>
          <w:szCs w:val="20"/>
        </w:rPr>
      </w:pPr>
      <w:r>
        <w:rPr>
          <w:rFonts w:hint="eastAsia"/>
          <w:sz w:val="20"/>
          <w:szCs w:val="20"/>
        </w:rPr>
        <w:t xml:space="preserve">Detailed simulation results of the above 12 cases are provided in the result collection excel [1]. Some of the simulation results are also provided in </w:t>
      </w:r>
      <w:r>
        <w:rPr>
          <w:rFonts w:hint="eastAsia" w:eastAsia="Times New Roman"/>
          <w:sz w:val="20"/>
          <w:szCs w:val="20"/>
          <w:lang w:val="en-GB"/>
        </w:rPr>
        <w:t xml:space="preserve">Table </w:t>
      </w:r>
      <w:r>
        <w:rPr>
          <w:rFonts w:hint="eastAsia" w:eastAsia="Times New Roman"/>
          <w:sz w:val="20"/>
          <w:szCs w:val="20"/>
        </w:rPr>
        <w:fldChar w:fldCharType="begin"/>
      </w:r>
      <w:r>
        <w:rPr>
          <w:rFonts w:hint="eastAsia" w:eastAsia="Times New Roman"/>
          <w:sz w:val="20"/>
          <w:szCs w:val="20"/>
        </w:rPr>
        <w:instrText xml:space="preserve"> = 5 \* ROMAN \* MERGEFORMAT </w:instrText>
      </w:r>
      <w:r>
        <w:rPr>
          <w:rFonts w:hint="eastAsia" w:eastAsia="Times New Roman"/>
          <w:sz w:val="20"/>
          <w:szCs w:val="20"/>
        </w:rPr>
        <w:fldChar w:fldCharType="separate"/>
      </w:r>
      <w:r>
        <w:rPr>
          <w:rFonts w:hint="eastAsia" w:eastAsia="Times New Roman"/>
          <w:sz w:val="20"/>
          <w:szCs w:val="20"/>
        </w:rPr>
        <w:t>V</w:t>
      </w:r>
      <w:r>
        <w:rPr>
          <w:rFonts w:hint="eastAsia" w:eastAsia="Times New Roman"/>
          <w:sz w:val="20"/>
          <w:szCs w:val="20"/>
        </w:rPr>
        <w:fldChar w:fldCharType="end"/>
      </w:r>
      <w:r>
        <w:rPr>
          <w:rFonts w:hint="eastAsia"/>
          <w:sz w:val="20"/>
          <w:szCs w:val="20"/>
        </w:rPr>
        <w:t xml:space="preserve"> for reference. As observed, for Tx-Rx beam pair prediction and DL Tx beam prediction, similar beam prediction performance can be achieved with different Set B patterns in a same sampling rate. In addition, a sufficient high performance of DL Tx beam prediction can also be achieved with Set B patterns 4/5/6 in a sampling rate of 12.5%, where the beam prediction accuracy for Top-5 beams is above 97%. </w:t>
      </w:r>
    </w:p>
    <w:p>
      <w:pPr>
        <w:snapToGrid w:val="0"/>
        <w:spacing w:before="72" w:beforeLines="30" w:after="72" w:afterLines="30" w:line="288" w:lineRule="auto"/>
        <w:jc w:val="center"/>
        <w:rPr>
          <w:sz w:val="20"/>
          <w:szCs w:val="20"/>
        </w:rPr>
      </w:pPr>
      <w:r>
        <w:rPr>
          <w:rFonts w:hint="eastAsia" w:eastAsia="Times New Roman"/>
          <w:sz w:val="20"/>
          <w:szCs w:val="20"/>
          <w:lang w:val="en-GB"/>
        </w:rPr>
        <w:t xml:space="preserve">Table </w:t>
      </w:r>
      <w:r>
        <w:rPr>
          <w:rFonts w:hint="eastAsia" w:eastAsia="Times New Roman"/>
          <w:sz w:val="20"/>
          <w:szCs w:val="20"/>
        </w:rPr>
        <w:fldChar w:fldCharType="begin"/>
      </w:r>
      <w:r>
        <w:rPr>
          <w:rFonts w:hint="eastAsia" w:eastAsia="Times New Roman"/>
          <w:sz w:val="20"/>
          <w:szCs w:val="20"/>
        </w:rPr>
        <w:instrText xml:space="preserve"> = 5 \* ROMAN \* MERGEFORMAT </w:instrText>
      </w:r>
      <w:r>
        <w:rPr>
          <w:rFonts w:hint="eastAsia" w:eastAsia="Times New Roman"/>
          <w:sz w:val="20"/>
          <w:szCs w:val="20"/>
        </w:rPr>
        <w:fldChar w:fldCharType="separate"/>
      </w:r>
      <w:r>
        <w:rPr>
          <w:rFonts w:hint="eastAsia" w:eastAsia="Times New Roman"/>
          <w:sz w:val="20"/>
          <w:szCs w:val="20"/>
        </w:rPr>
        <w:t>V</w:t>
      </w:r>
      <w:r>
        <w:rPr>
          <w:rFonts w:hint="eastAsia" w:eastAsia="Times New Roman"/>
          <w:sz w:val="20"/>
          <w:szCs w:val="20"/>
        </w:rPr>
        <w:fldChar w:fldCharType="end"/>
      </w:r>
      <w:r>
        <w:rPr>
          <w:rFonts w:hint="eastAsia" w:eastAsia="Times New Roman"/>
          <w:sz w:val="20"/>
          <w:szCs w:val="20"/>
        </w:rPr>
        <w:t>. Simulation results for different Set B patterns</w:t>
      </w:r>
    </w:p>
    <w:tbl>
      <w:tblPr>
        <w:tblStyle w:val="24"/>
        <w:tblW w:w="42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187"/>
        <w:gridCol w:w="1217"/>
        <w:gridCol w:w="1204"/>
        <w:gridCol w:w="1142"/>
        <w:gridCol w:w="1139"/>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Align w:val="center"/>
          </w:tcPr>
          <w:p>
            <w:pPr>
              <w:widowControl w:val="0"/>
              <w:snapToGrid w:val="0"/>
              <w:spacing w:before="72" w:beforeLines="30" w:after="72" w:afterLines="30" w:line="288" w:lineRule="auto"/>
              <w:contextualSpacing/>
              <w:jc w:val="center"/>
              <w:rPr>
                <w:sz w:val="20"/>
                <w:szCs w:val="20"/>
              </w:rPr>
            </w:pPr>
            <w:r>
              <w:rPr>
                <w:sz w:val="20"/>
                <w:szCs w:val="20"/>
              </w:rPr>
              <w:t>Cases</w:t>
            </w:r>
          </w:p>
        </w:tc>
        <w:tc>
          <w:tcPr>
            <w:tcW w:w="726" w:type="pct"/>
            <w:vAlign w:val="center"/>
          </w:tcPr>
          <w:p>
            <w:pPr>
              <w:widowControl w:val="0"/>
              <w:snapToGrid w:val="0"/>
              <w:spacing w:before="72" w:beforeLines="30" w:after="72" w:afterLines="30" w:line="288" w:lineRule="auto"/>
              <w:contextualSpacing/>
              <w:jc w:val="center"/>
              <w:rPr>
                <w:sz w:val="20"/>
                <w:szCs w:val="20"/>
              </w:rPr>
            </w:pPr>
            <w:r>
              <w:rPr>
                <w:sz w:val="20"/>
                <w:szCs w:val="20"/>
              </w:rPr>
              <w:t>Non-AI/AI</w:t>
            </w:r>
          </w:p>
        </w:tc>
        <w:tc>
          <w:tcPr>
            <w:tcW w:w="744"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37"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699"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97"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Top-5 beams</w:t>
            </w:r>
          </w:p>
        </w:tc>
        <w:tc>
          <w:tcPr>
            <w:tcW w:w="638" w:type="pct"/>
            <w:tcBorders>
              <w:lef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sz w:val="20"/>
                <w:szCs w:val="20"/>
              </w:rPr>
            </w:pPr>
            <w:r>
              <w:rPr>
                <w:sz w:val="20"/>
                <w:szCs w:val="20"/>
              </w:rPr>
              <w:t>Case 1-3-1</w:t>
            </w:r>
          </w:p>
        </w:tc>
        <w:tc>
          <w:tcPr>
            <w:tcW w:w="726" w:type="pct"/>
            <w:vAlign w:val="center"/>
          </w:tcPr>
          <w:p>
            <w:pPr>
              <w:widowControl w:val="0"/>
              <w:snapToGrid w:val="0"/>
              <w:spacing w:before="72" w:beforeLines="30" w:after="72" w:afterLines="30" w:line="288" w:lineRule="auto"/>
              <w:contextualSpacing/>
              <w:jc w:val="center"/>
              <w:rPr>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2.028        44.04 %        25.43 %        25.43 %        2.044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0.105        97.09 %        83.83 %        98.72 %        0.261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rPr>
            </w:pPr>
            <w:r>
              <w:rPr>
                <w:sz w:val="20"/>
                <w:szCs w:val="20"/>
              </w:rPr>
              <w:t>Case 1-3-2</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0.937        63.43 %        39.09 %        39.09 %        0.970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0.131        96.88 %        82.15 %        98.67 %        0.249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1-3-3</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1.737        44.36 %        25.47 %        25.47 %        1.745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0.087        97.77 %        85.66 %        99.10 %        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1-3-4</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2.924        32.21 %        18.55 %        18.55 %        2.926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0.764        81.77 %        61.49 %        91.45 %        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1-3-5</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2.781        33.60 %        19.62 %        19.62 %        2.770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0.795        80.48 %        59.68 %        90.76 %        0.707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kern w:val="2"/>
                <w:sz w:val="20"/>
                <w:szCs w:val="20"/>
                <w:lang w:eastAsia="en-US"/>
              </w:rPr>
            </w:pPr>
            <w:r>
              <w:rPr>
                <w:sz w:val="20"/>
                <w:szCs w:val="20"/>
              </w:rPr>
              <w:t>Case 1-3-6</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5.384         14.55 %         6.42 %         6.42 %         5.409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0.825        79.75 %        60.67 %        90.90 %        0.725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1-3-7</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2.350        41.24 %        25.96 %        25.96 %        2.364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0.057        98.93 %        91.66 %        99.81 %        0.149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1-3-8</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0.996        61.70 %        39.96 %        39.96 %        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0.071        98.59 %        86.78 %        99.64 %        0.161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1-3-9</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2.052        40.55 %        24.82 %        24.82 %        2.049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0.057        98.61 %        89.70 %        99.73 %        0.160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1-3-10</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3.444        29.75 %        19.20 %        19.20 %        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0.511        89.90 %        73.79 %        97.47 %        0.411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1-3-11</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3.199        31.56 %        19.81 %        19.81 %        3.169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0.492        90.11 %        74.08 %        97.58 %        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vAlign w:val="center"/>
          </w:tcPr>
          <w:p>
            <w:pPr>
              <w:widowControl w:val="0"/>
              <w:snapToGrid w:val="0"/>
              <w:spacing w:before="72" w:beforeLines="30" w:after="72" w:afterLines="30" w:line="288" w:lineRule="auto"/>
              <w:contextualSpacing/>
              <w:jc w:val="center"/>
              <w:rPr>
                <w:bCs/>
                <w:kern w:val="2"/>
                <w:sz w:val="20"/>
                <w:szCs w:val="20"/>
                <w:lang w:eastAsia="en-US"/>
              </w:rPr>
            </w:pPr>
            <w:r>
              <w:rPr>
                <w:sz w:val="20"/>
                <w:szCs w:val="20"/>
              </w:rPr>
              <w:t>Case 1-3-12</w:t>
            </w: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5.988         11.75 %         6.51 %         6.51 %         6.022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6"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17"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0.496        87.70 %        72.29 %        98.17 %        0.500</w:t>
            </w:r>
          </w:p>
        </w:tc>
      </w:tr>
    </w:tbl>
    <w:p>
      <w:pPr>
        <w:pStyle w:val="117"/>
        <w:spacing w:before="72" w:after="72"/>
        <w:jc w:val="both"/>
        <w:rPr>
          <w:kern w:val="2"/>
          <w:sz w:val="20"/>
          <w:szCs w:val="20"/>
        </w:rPr>
      </w:pPr>
      <w:r>
        <w:rPr>
          <w:rFonts w:hint="eastAsia"/>
          <w:kern w:val="2"/>
          <w:sz w:val="20"/>
          <w:szCs w:val="20"/>
        </w:rPr>
        <w:t xml:space="preserve">For Tx-Rx beam pair prediction and DL Tx beam prediction, similar beam prediction performance is achieved with different </w:t>
      </w:r>
      <w:r>
        <w:rPr>
          <w:rFonts w:hint="eastAsia"/>
          <w:kern w:val="2"/>
          <w:sz w:val="20"/>
          <w:szCs w:val="20"/>
          <w:lang w:val="en-US" w:eastAsia="zh-CN"/>
        </w:rPr>
        <w:t xml:space="preserve">uniform </w:t>
      </w:r>
      <w:r>
        <w:rPr>
          <w:rFonts w:hint="eastAsia"/>
          <w:kern w:val="2"/>
          <w:sz w:val="20"/>
          <w:szCs w:val="20"/>
        </w:rPr>
        <w:t>Set B patterns in the same sampling rate</w:t>
      </w:r>
      <w:r>
        <w:rPr>
          <w:kern w:val="2"/>
          <w:sz w:val="20"/>
          <w:szCs w:val="20"/>
        </w:rPr>
        <w:t xml:space="preserve"> if </w:t>
      </w:r>
      <w:r>
        <w:rPr>
          <w:rFonts w:hint="eastAsia"/>
          <w:kern w:val="2"/>
          <w:sz w:val="20"/>
          <w:szCs w:val="20"/>
          <w:lang w:eastAsia="zh-CN"/>
        </w:rPr>
        <w:t xml:space="preserve">AI/ML model </w:t>
      </w:r>
      <w:r>
        <w:rPr>
          <w:kern w:val="2"/>
          <w:sz w:val="20"/>
          <w:szCs w:val="20"/>
        </w:rPr>
        <w:t>generalization is not considered</w:t>
      </w:r>
      <w:r>
        <w:rPr>
          <w:rFonts w:hint="eastAsia"/>
          <w:kern w:val="2"/>
          <w:sz w:val="20"/>
          <w:szCs w:val="20"/>
        </w:rPr>
        <w:t>.</w:t>
      </w:r>
    </w:p>
    <w:p>
      <w:pPr>
        <w:pStyle w:val="117"/>
        <w:spacing w:before="72" w:after="72"/>
        <w:jc w:val="both"/>
        <w:rPr>
          <w:kern w:val="2"/>
          <w:sz w:val="20"/>
          <w:szCs w:val="20"/>
        </w:rPr>
      </w:pPr>
      <w:r>
        <w:rPr>
          <w:rFonts w:hint="eastAsia"/>
          <w:kern w:val="2"/>
          <w:sz w:val="20"/>
          <w:szCs w:val="20"/>
        </w:rPr>
        <w:t xml:space="preserve">For DL Tx beam prediction, a high performance is achieved with Set B patterns 4/5/6 in a sampling rate of 12.5%, where the beam prediction accuracy for Top-5 beams is above 97%. </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 xml:space="preserve">Set B is changed among a set of beams (pairs) for measurement (Set C) </w:t>
      </w:r>
    </w:p>
    <w:p>
      <w:pPr>
        <w:snapToGrid w:val="0"/>
        <w:spacing w:before="72" w:beforeLines="30" w:after="72" w:afterLines="30" w:line="288" w:lineRule="auto"/>
        <w:jc w:val="both"/>
        <w:rPr>
          <w:sz w:val="20"/>
          <w:szCs w:val="20"/>
        </w:rPr>
      </w:pPr>
      <w:r>
        <w:rPr>
          <w:rFonts w:hint="eastAsia"/>
          <w:sz w:val="20"/>
          <w:szCs w:val="20"/>
        </w:rPr>
        <w:t xml:space="preserve">To reduce the overhead of UE feeding back beam measurements, evaluation of Set B changed among a set of beam for measurement (i.e., Set C) is considered in this section. For instance, as shown in Figure 2-3, Set C is used for measurement and Set B is used for </w:t>
      </w:r>
      <w:r>
        <w:rPr>
          <w:rFonts w:hint="eastAsia"/>
          <w:sz w:val="20"/>
          <w:szCs w:val="20"/>
          <w:lang w:eastAsia="zh-CN"/>
        </w:rPr>
        <w:t xml:space="preserve">AI/ML model </w:t>
      </w:r>
      <w:r>
        <w:rPr>
          <w:rFonts w:hint="eastAsia"/>
          <w:sz w:val="20"/>
          <w:szCs w:val="20"/>
        </w:rPr>
        <w:t xml:space="preserve">input, which consists of Top-4 beams with highest L1-RSRPs optimally selected from Set C of beams. </w:t>
      </w:r>
    </w:p>
    <w:p>
      <w:pPr>
        <w:snapToGrid w:val="0"/>
        <w:spacing w:before="72" w:beforeLines="30" w:after="72" w:afterLines="30" w:line="288" w:lineRule="auto"/>
        <w:jc w:val="both"/>
        <w:rPr>
          <w:sz w:val="20"/>
          <w:szCs w:val="20"/>
        </w:rPr>
      </w:pPr>
      <w:r>
        <w:rPr>
          <w:rFonts w:hint="eastAsia"/>
          <w:sz w:val="20"/>
          <w:szCs w:val="20"/>
        </w:rPr>
        <w:t>To evaluate the performance of Set B changed among Set C,  six cases are considered as follows.</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1-3-1: </w:t>
      </w:r>
      <w:r>
        <w:rPr>
          <w:rFonts w:eastAsia="Times New Roman"/>
          <w:b/>
          <w:bCs/>
          <w:sz w:val="20"/>
          <w:szCs w:val="20"/>
        </w:rPr>
        <w:t>Tx-Rx beam pair prediction</w:t>
      </w:r>
      <w:r>
        <w:rPr>
          <w:rFonts w:hint="eastAsia" w:eastAsia="Times New Roman"/>
          <w:b/>
          <w:bCs/>
          <w:sz w:val="20"/>
          <w:szCs w:val="20"/>
        </w:rPr>
        <w:t>,</w:t>
      </w:r>
      <w:r>
        <w:rPr>
          <w:rFonts w:hint="eastAsia" w:eastAsia="Times New Roman"/>
          <w:sz w:val="20"/>
          <w:szCs w:val="20"/>
        </w:rPr>
        <w:t xml:space="preserve"> </w:t>
      </w:r>
      <w:r>
        <w:rPr>
          <w:rFonts w:hint="eastAsia" w:eastAsia="Times New Roman"/>
          <w:b/>
          <w:bCs/>
          <w:sz w:val="20"/>
          <w:szCs w:val="20"/>
        </w:rPr>
        <w:t>Top 4</w:t>
      </w:r>
      <w:r>
        <w:rPr>
          <w:rFonts w:hint="eastAsia" w:eastAsia="Times New Roman"/>
          <w:sz w:val="20"/>
          <w:szCs w:val="20"/>
        </w:rPr>
        <w:t xml:space="preserve"> L1-RSRPs from 128 beam pair measurements are used as </w:t>
      </w:r>
      <w:r>
        <w:rPr>
          <w:rFonts w:hint="eastAsia"/>
          <w:sz w:val="20"/>
          <w:szCs w:val="20"/>
          <w:lang w:eastAsia="zh-CN"/>
        </w:rPr>
        <w:t xml:space="preserve">AI/ML model </w:t>
      </w:r>
      <w:r>
        <w:rPr>
          <w:rFonts w:hint="eastAsia" w:eastAsia="Times New Roman"/>
          <w:sz w:val="20"/>
          <w:szCs w:val="20"/>
        </w:rPr>
        <w:t xml:space="preserve">inputs, where the 128 beam pair measurements are results of measurements of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Set B pattern 1 and all 8</w:t>
      </w:r>
      <w:r>
        <w:rPr>
          <w:rFonts w:hint="eastAsia" w:eastAsia="Times New Roman"/>
          <w:sz w:val="20"/>
          <w:szCs w:val="20"/>
          <w:lang w:val="en-GB"/>
        </w:rPr>
        <w:t xml:space="preserve"> </w:t>
      </w:r>
      <w:r>
        <w:rPr>
          <w:rFonts w:hint="eastAsia"/>
          <w:sz w:val="20"/>
          <w:szCs w:val="20"/>
        </w:rPr>
        <w:t>Rx</w:t>
      </w:r>
      <w:r>
        <w:rPr>
          <w:rFonts w:hint="eastAsia" w:eastAsia="Times New Roman"/>
          <w:sz w:val="20"/>
          <w:szCs w:val="20"/>
          <w:lang w:val="en-GB"/>
        </w:rPr>
        <w:t xml:space="preser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1-3-2: </w:t>
      </w:r>
      <w:r>
        <w:rPr>
          <w:rFonts w:eastAsia="Times New Roman"/>
          <w:b/>
          <w:bCs/>
          <w:sz w:val="20"/>
          <w:szCs w:val="20"/>
        </w:rPr>
        <w:t>Tx-Rx beam pair prediction</w:t>
      </w:r>
      <w:r>
        <w:rPr>
          <w:rFonts w:hint="eastAsia" w:eastAsia="Times New Roman"/>
          <w:b/>
          <w:bCs/>
          <w:sz w:val="20"/>
          <w:szCs w:val="20"/>
        </w:rPr>
        <w:t>,</w:t>
      </w:r>
      <w:r>
        <w:rPr>
          <w:rFonts w:hint="eastAsia" w:eastAsia="Times New Roman"/>
          <w:sz w:val="20"/>
          <w:szCs w:val="20"/>
        </w:rPr>
        <w:t xml:space="preserve"> </w:t>
      </w:r>
      <w:r>
        <w:rPr>
          <w:rFonts w:hint="eastAsia" w:eastAsia="Times New Roman"/>
          <w:b/>
          <w:bCs/>
          <w:sz w:val="20"/>
          <w:szCs w:val="20"/>
        </w:rPr>
        <w:t>Top 8</w:t>
      </w:r>
      <w:r>
        <w:rPr>
          <w:rFonts w:hint="eastAsia" w:eastAsia="Times New Roman"/>
          <w:sz w:val="20"/>
          <w:szCs w:val="20"/>
        </w:rPr>
        <w:t xml:space="preserve"> L1-RSRPs from 128 beam pair measurements are used as </w:t>
      </w:r>
      <w:r>
        <w:rPr>
          <w:rFonts w:hint="eastAsia"/>
          <w:sz w:val="20"/>
          <w:szCs w:val="20"/>
          <w:lang w:eastAsia="zh-CN"/>
        </w:rPr>
        <w:t xml:space="preserve">AI/ML model </w:t>
      </w:r>
      <w:r>
        <w:rPr>
          <w:rFonts w:hint="eastAsia" w:eastAsia="Times New Roman"/>
          <w:sz w:val="20"/>
          <w:szCs w:val="20"/>
        </w:rPr>
        <w:t xml:space="preserve">inputs, where the 128 beam pair measurements are results of measurements of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Set B pattern 1 and all 8</w:t>
      </w:r>
      <w:r>
        <w:rPr>
          <w:rFonts w:hint="eastAsia" w:eastAsia="Times New Roman"/>
          <w:sz w:val="20"/>
          <w:szCs w:val="20"/>
          <w:lang w:val="en-GB"/>
        </w:rPr>
        <w:t xml:space="preserve"> </w:t>
      </w:r>
      <w:r>
        <w:rPr>
          <w:rFonts w:hint="eastAsia"/>
          <w:sz w:val="20"/>
          <w:szCs w:val="20"/>
        </w:rPr>
        <w:t>Rx</w:t>
      </w:r>
      <w:r>
        <w:rPr>
          <w:rFonts w:hint="eastAsia" w:eastAsia="Times New Roman"/>
          <w:sz w:val="20"/>
          <w:szCs w:val="20"/>
          <w:lang w:val="en-GB"/>
        </w:rPr>
        <w:t xml:space="preser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1-3-3: </w:t>
      </w:r>
      <w:r>
        <w:rPr>
          <w:rFonts w:eastAsia="Times New Roman"/>
          <w:b/>
          <w:bCs/>
          <w:sz w:val="20"/>
          <w:szCs w:val="20"/>
        </w:rPr>
        <w:t>Tx-Rx beam pair prediction</w:t>
      </w:r>
      <w:r>
        <w:rPr>
          <w:rFonts w:hint="eastAsia" w:eastAsia="Times New Roman"/>
          <w:b/>
          <w:bCs/>
          <w:sz w:val="20"/>
          <w:szCs w:val="20"/>
        </w:rPr>
        <w:t>,</w:t>
      </w:r>
      <w:r>
        <w:rPr>
          <w:rFonts w:hint="eastAsia" w:eastAsia="Times New Roman"/>
          <w:sz w:val="20"/>
          <w:szCs w:val="20"/>
        </w:rPr>
        <w:t xml:space="preserve"> </w:t>
      </w:r>
      <w:r>
        <w:rPr>
          <w:rFonts w:hint="eastAsia" w:eastAsia="Times New Roman"/>
          <w:b/>
          <w:bCs/>
          <w:sz w:val="20"/>
          <w:szCs w:val="20"/>
        </w:rPr>
        <w:t>Top 16</w:t>
      </w:r>
      <w:r>
        <w:rPr>
          <w:rFonts w:hint="eastAsia" w:eastAsia="Times New Roman"/>
          <w:sz w:val="20"/>
          <w:szCs w:val="20"/>
        </w:rPr>
        <w:t xml:space="preserve"> L1-RSRPs from 128 beam pair measurements are used as </w:t>
      </w:r>
      <w:r>
        <w:rPr>
          <w:rFonts w:hint="eastAsia"/>
          <w:sz w:val="20"/>
          <w:szCs w:val="20"/>
          <w:lang w:eastAsia="zh-CN"/>
        </w:rPr>
        <w:t xml:space="preserve">AI/ML model </w:t>
      </w:r>
      <w:r>
        <w:rPr>
          <w:rFonts w:hint="eastAsia" w:eastAsia="Times New Roman"/>
          <w:sz w:val="20"/>
          <w:szCs w:val="20"/>
        </w:rPr>
        <w:t xml:space="preserve">inputs, where the 128 beam pair measurements are results of measurements of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Set B pattern 1 and all 8</w:t>
      </w:r>
      <w:r>
        <w:rPr>
          <w:rFonts w:hint="eastAsia" w:eastAsia="Times New Roman"/>
          <w:sz w:val="20"/>
          <w:szCs w:val="20"/>
          <w:lang w:val="en-GB"/>
        </w:rPr>
        <w:t xml:space="preserve"> </w:t>
      </w:r>
      <w:r>
        <w:rPr>
          <w:rFonts w:hint="eastAsia"/>
          <w:sz w:val="20"/>
          <w:szCs w:val="20"/>
        </w:rPr>
        <w:t>Rx</w:t>
      </w:r>
      <w:r>
        <w:rPr>
          <w:rFonts w:hint="eastAsia" w:eastAsia="Times New Roman"/>
          <w:sz w:val="20"/>
          <w:szCs w:val="20"/>
          <w:lang w:val="en-GB"/>
        </w:rPr>
        <w:t xml:space="preserve"> beams</w:t>
      </w:r>
      <w:r>
        <w:rPr>
          <w:rFonts w:hint="eastAsia"/>
          <w:sz w:val="20"/>
          <w:szCs w:val="20"/>
        </w:rPr>
        <w:t xml:space="preserve"> </w:t>
      </w:r>
      <w:r>
        <w:rPr>
          <w:rFonts w:hint="eastAsia" w:eastAsia="Times New Roman"/>
          <w:sz w:val="20"/>
          <w:szCs w:val="20"/>
          <w:lang w:val="en-GB"/>
        </w:rPr>
        <w:t>in the UE</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1-3-4: DL Tx beam</w:t>
      </w:r>
      <w:r>
        <w:rPr>
          <w:rFonts w:eastAsia="Times New Roman"/>
          <w:b/>
          <w:bCs/>
          <w:sz w:val="20"/>
          <w:szCs w:val="20"/>
        </w:rPr>
        <w:t xml:space="preserve"> prediction</w:t>
      </w:r>
      <w:r>
        <w:rPr>
          <w:rFonts w:hint="eastAsia" w:eastAsia="Times New Roman"/>
          <w:b/>
          <w:bCs/>
          <w:sz w:val="20"/>
          <w:szCs w:val="20"/>
        </w:rPr>
        <w:t>,</w:t>
      </w:r>
      <w:r>
        <w:rPr>
          <w:rFonts w:hint="eastAsia" w:eastAsia="Times New Roman"/>
          <w:sz w:val="20"/>
          <w:szCs w:val="20"/>
        </w:rPr>
        <w:t xml:space="preserve"> </w:t>
      </w:r>
      <w:r>
        <w:rPr>
          <w:rFonts w:hint="eastAsia" w:eastAsia="Times New Roman"/>
          <w:b/>
          <w:bCs/>
          <w:sz w:val="20"/>
          <w:szCs w:val="20"/>
        </w:rPr>
        <w:t>Top 4</w:t>
      </w:r>
      <w:r>
        <w:rPr>
          <w:rFonts w:hint="eastAsia" w:eastAsia="Times New Roman"/>
          <w:sz w:val="20"/>
          <w:szCs w:val="20"/>
        </w:rPr>
        <w:t xml:space="preserve"> L1-RSRPs </w:t>
      </w:r>
      <w:bookmarkStart w:id="4" w:name="OLE_LINK15"/>
      <w:r>
        <w:rPr>
          <w:rFonts w:hint="eastAsia" w:eastAsia="Times New Roman"/>
          <w:sz w:val="20"/>
          <w:szCs w:val="20"/>
        </w:rPr>
        <w:t xml:space="preserve">from 16 Tx beam measurements are used as </w:t>
      </w:r>
      <w:r>
        <w:rPr>
          <w:rFonts w:hint="eastAsia"/>
          <w:sz w:val="20"/>
          <w:szCs w:val="20"/>
          <w:lang w:eastAsia="zh-CN"/>
        </w:rPr>
        <w:t xml:space="preserve">AI/ML model </w:t>
      </w:r>
      <w:r>
        <w:rPr>
          <w:rFonts w:hint="eastAsia" w:eastAsia="Times New Roman"/>
          <w:sz w:val="20"/>
          <w:szCs w:val="20"/>
        </w:rPr>
        <w:t xml:space="preserve">inputs, where the 16 beam measurements are results of measurements of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Set B pattern 1 and the optimal Rx beam </w:t>
      </w:r>
      <w:r>
        <w:rPr>
          <w:rFonts w:hint="eastAsia" w:eastAsia="Times New Roman"/>
          <w:sz w:val="20"/>
          <w:szCs w:val="20"/>
          <w:lang w:val="en-GB"/>
        </w:rPr>
        <w:t>in the UE</w:t>
      </w:r>
      <w:bookmarkEnd w:id="4"/>
      <w:r>
        <w:rPr>
          <w:rFonts w:hint="eastAsia"/>
          <w:sz w:val="20"/>
          <w:szCs w:val="20"/>
        </w:rPr>
        <w:t xml:space="preserve"> (i.e., Rx beam assumption 3).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1-3-5: DL Tx beam</w:t>
      </w:r>
      <w:r>
        <w:rPr>
          <w:rFonts w:eastAsia="Times New Roman"/>
          <w:b/>
          <w:bCs/>
          <w:sz w:val="20"/>
          <w:szCs w:val="20"/>
        </w:rPr>
        <w:t xml:space="preserve"> prediction</w:t>
      </w:r>
      <w:r>
        <w:rPr>
          <w:rFonts w:hint="eastAsia" w:eastAsia="Times New Roman"/>
          <w:b/>
          <w:bCs/>
          <w:sz w:val="20"/>
          <w:szCs w:val="20"/>
        </w:rPr>
        <w:t>,</w:t>
      </w:r>
      <w:r>
        <w:rPr>
          <w:rFonts w:hint="eastAsia" w:eastAsia="Times New Roman"/>
          <w:sz w:val="20"/>
          <w:szCs w:val="20"/>
        </w:rPr>
        <w:t xml:space="preserve"> </w:t>
      </w:r>
      <w:r>
        <w:rPr>
          <w:rFonts w:hint="eastAsia" w:eastAsia="Times New Roman"/>
          <w:b/>
          <w:bCs/>
          <w:sz w:val="20"/>
          <w:szCs w:val="20"/>
        </w:rPr>
        <w:t>Top 8</w:t>
      </w:r>
      <w:r>
        <w:rPr>
          <w:rFonts w:hint="eastAsia" w:eastAsia="Times New Roman"/>
          <w:sz w:val="20"/>
          <w:szCs w:val="20"/>
        </w:rPr>
        <w:t xml:space="preserve"> L1-RSRPs from 16 Tx beam measurements are used as </w:t>
      </w:r>
      <w:r>
        <w:rPr>
          <w:rFonts w:hint="eastAsia"/>
          <w:sz w:val="20"/>
          <w:szCs w:val="20"/>
          <w:lang w:eastAsia="zh-CN"/>
        </w:rPr>
        <w:t xml:space="preserve">AI/ML model </w:t>
      </w:r>
      <w:r>
        <w:rPr>
          <w:rFonts w:hint="eastAsia" w:eastAsia="Times New Roman"/>
          <w:sz w:val="20"/>
          <w:szCs w:val="20"/>
        </w:rPr>
        <w:t xml:space="preserve">inputs, where the 16 beam measurements are results of measurements of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Set B pattern 1 and the optimal Rx beam </w:t>
      </w:r>
      <w:r>
        <w:rPr>
          <w:rFonts w:hint="eastAsia" w:eastAsia="Times New Roman"/>
          <w:sz w:val="20"/>
          <w:szCs w:val="20"/>
          <w:lang w:val="en-GB"/>
        </w:rPr>
        <w:t>in the UE</w:t>
      </w:r>
      <w:r>
        <w:rPr>
          <w:rFonts w:hint="eastAsia"/>
          <w:sz w:val="20"/>
          <w:szCs w:val="20"/>
        </w:rPr>
        <w:t xml:space="preserve"> (i.e., Rx beam assumption 3).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1-3-6: DL Tx beam</w:t>
      </w:r>
      <w:r>
        <w:rPr>
          <w:rFonts w:eastAsia="Times New Roman"/>
          <w:b/>
          <w:bCs/>
          <w:sz w:val="20"/>
          <w:szCs w:val="20"/>
        </w:rPr>
        <w:t xml:space="preserve"> prediction</w:t>
      </w:r>
      <w:r>
        <w:rPr>
          <w:rFonts w:hint="eastAsia" w:eastAsia="Times New Roman"/>
          <w:b/>
          <w:bCs/>
          <w:sz w:val="20"/>
          <w:szCs w:val="20"/>
        </w:rPr>
        <w:t>,</w:t>
      </w:r>
      <w:r>
        <w:rPr>
          <w:rFonts w:hint="eastAsia" w:eastAsia="Times New Roman"/>
          <w:sz w:val="20"/>
          <w:szCs w:val="20"/>
        </w:rPr>
        <w:t xml:space="preserve"> </w:t>
      </w:r>
      <w:r>
        <w:rPr>
          <w:rFonts w:hint="eastAsia" w:eastAsia="Times New Roman"/>
          <w:b/>
          <w:bCs/>
          <w:sz w:val="20"/>
          <w:szCs w:val="20"/>
        </w:rPr>
        <w:t>Top 16</w:t>
      </w:r>
      <w:r>
        <w:rPr>
          <w:rFonts w:hint="eastAsia" w:eastAsia="Times New Roman"/>
          <w:sz w:val="20"/>
          <w:szCs w:val="20"/>
        </w:rPr>
        <w:t xml:space="preserve"> L1-RSRPs from 16 Tx beam measurements are used as </w:t>
      </w:r>
      <w:r>
        <w:rPr>
          <w:rFonts w:hint="eastAsia"/>
          <w:sz w:val="20"/>
          <w:szCs w:val="20"/>
          <w:lang w:eastAsia="zh-CN"/>
        </w:rPr>
        <w:t xml:space="preserve">AI/ML model </w:t>
      </w:r>
      <w:r>
        <w:rPr>
          <w:rFonts w:hint="eastAsia" w:eastAsia="Times New Roman"/>
          <w:sz w:val="20"/>
          <w:szCs w:val="20"/>
        </w:rPr>
        <w:t xml:space="preserve">inputs, where the 16 beam measurements are results of measurements of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with Set B pattern 1 and the optimal Rx beam </w:t>
      </w:r>
      <w:r>
        <w:rPr>
          <w:rFonts w:hint="eastAsia" w:eastAsia="Times New Roman"/>
          <w:sz w:val="20"/>
          <w:szCs w:val="20"/>
          <w:lang w:val="en-GB"/>
        </w:rPr>
        <w:t>in the UE</w:t>
      </w:r>
      <w:r>
        <w:rPr>
          <w:rFonts w:hint="eastAsia"/>
          <w:sz w:val="20"/>
          <w:szCs w:val="20"/>
        </w:rPr>
        <w:t xml:space="preserve"> (i.e., Rx beam assumption 3). </w:t>
      </w:r>
    </w:p>
    <w:p>
      <w:pPr>
        <w:widowControl w:val="0"/>
        <w:snapToGrid w:val="0"/>
        <w:spacing w:before="72" w:beforeLines="30" w:after="72" w:afterLines="30" w:line="288" w:lineRule="auto"/>
        <w:rPr>
          <w:bCs/>
          <w:sz w:val="21"/>
          <w:szCs w:val="21"/>
        </w:rPr>
      </w:pPr>
    </w:p>
    <w:p>
      <w:pPr>
        <w:widowControl w:val="0"/>
        <w:snapToGrid w:val="0"/>
        <w:spacing w:before="72" w:beforeLines="30" w:after="72" w:afterLines="30" w:line="288" w:lineRule="auto"/>
        <w:jc w:val="center"/>
        <w:rPr>
          <w:bCs/>
          <w:sz w:val="21"/>
          <w:szCs w:val="21"/>
        </w:rPr>
      </w:pPr>
      <w:r>
        <w:rPr>
          <w:rFonts w:hint="eastAsia" w:ascii="Arial" w:hAnsi="Arial" w:cs="Arial"/>
          <w:color w:val="333333"/>
          <w:sz w:val="21"/>
          <w:szCs w:val="21"/>
          <w:shd w:val="clear" w:color="auto" w:fill="FFFFFF"/>
        </w:rPr>
        <w:object>
          <v:shape id="_x0000_i1032" o:spt="75" type="#_x0000_t75" style="height:225pt;width:344pt;" o:ole="t" filled="f" o:preferrelative="t" stroked="f" coordsize="21600,21600">
            <v:path/>
            <v:fill on="f" focussize="0,0"/>
            <v:stroke on="f" joinstyle="miter"/>
            <v:imagedata r:id="rId21" o:title=""/>
            <o:lock v:ext="edit" aspectratio="f"/>
            <w10:wrap type="none"/>
            <w10:anchorlock/>
          </v:shape>
          <o:OLEObject Type="Embed" ProgID="Visio.Drawing.15" ShapeID="_x0000_i1032" DrawAspect="Content" ObjectID="_1468075731" r:id="rId20">
            <o:LockedField>false</o:LockedField>
          </o:OLEObject>
        </w:object>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 xml:space="preserve">Figure </w:t>
      </w:r>
      <w:r>
        <w:rPr>
          <w:rFonts w:hint="eastAsia"/>
          <w:sz w:val="20"/>
          <w:szCs w:val="20"/>
        </w:rPr>
        <w:t>2</w:t>
      </w:r>
      <w:r>
        <w:rPr>
          <w:rFonts w:hint="eastAsia" w:eastAsia="Times New Roman"/>
          <w:sz w:val="20"/>
          <w:szCs w:val="20"/>
          <w:lang w:val="en-GB"/>
        </w:rPr>
        <w:t>-3. Illustration of selection from Set C pattern to Set B pattern.</w:t>
      </w:r>
    </w:p>
    <w:p>
      <w:pPr>
        <w:snapToGrid w:val="0"/>
        <w:spacing w:before="72" w:beforeLines="30" w:after="72" w:afterLines="30" w:line="288" w:lineRule="auto"/>
        <w:jc w:val="both"/>
        <w:rPr>
          <w:sz w:val="20"/>
          <w:szCs w:val="20"/>
        </w:rPr>
      </w:pPr>
      <w:r>
        <w:rPr>
          <w:rFonts w:hint="eastAsia"/>
          <w:sz w:val="20"/>
          <w:szCs w:val="20"/>
        </w:rPr>
        <w:t>Detailed simulation results of the above cases are provided in the result collection excel [1]. Some of</w:t>
      </w:r>
      <w:r>
        <w:rPr>
          <w:rFonts w:hint="eastAsia" w:eastAsia="Times New Roman"/>
          <w:sz w:val="20"/>
          <w:szCs w:val="20"/>
        </w:rPr>
        <w:t xml:space="preserve"> the simulation results </w:t>
      </w:r>
      <w:r>
        <w:rPr>
          <w:rFonts w:hint="eastAsia"/>
          <w:sz w:val="20"/>
          <w:szCs w:val="20"/>
        </w:rPr>
        <w:t>are also provided in</w:t>
      </w:r>
      <w:r>
        <w:rPr>
          <w:rFonts w:hint="eastAsia" w:eastAsia="Times New Roman"/>
          <w:sz w:val="20"/>
          <w:szCs w:val="20"/>
        </w:rPr>
        <w:t xml:space="preserve"> Table </w:t>
      </w:r>
      <w:r>
        <w:rPr>
          <w:rFonts w:hint="eastAsia" w:eastAsia="Times New Roman"/>
          <w:sz w:val="20"/>
          <w:szCs w:val="20"/>
        </w:rPr>
        <w:fldChar w:fldCharType="begin"/>
      </w:r>
      <w:r>
        <w:rPr>
          <w:rFonts w:hint="eastAsia" w:eastAsia="Times New Roman"/>
          <w:sz w:val="20"/>
          <w:szCs w:val="20"/>
        </w:rPr>
        <w:instrText xml:space="preserve"> = 6 \* ROMAN \* MERGEFORMAT </w:instrText>
      </w:r>
      <w:r>
        <w:rPr>
          <w:rFonts w:hint="eastAsia" w:eastAsia="Times New Roman"/>
          <w:sz w:val="20"/>
          <w:szCs w:val="20"/>
        </w:rPr>
        <w:fldChar w:fldCharType="separate"/>
      </w:r>
      <w:r>
        <w:rPr>
          <w:rFonts w:hint="eastAsia" w:eastAsia="Times New Roman"/>
          <w:sz w:val="20"/>
          <w:szCs w:val="20"/>
        </w:rPr>
        <w:t>VI</w:t>
      </w:r>
      <w:r>
        <w:rPr>
          <w:rFonts w:hint="eastAsia" w:eastAsia="Times New Roman"/>
          <w:sz w:val="20"/>
          <w:szCs w:val="20"/>
        </w:rPr>
        <w:fldChar w:fldCharType="end"/>
      </w:r>
      <w:r>
        <w:rPr>
          <w:rFonts w:hint="eastAsia"/>
          <w:sz w:val="20"/>
          <w:szCs w:val="20"/>
        </w:rPr>
        <w:t xml:space="preserve"> for reference. For DL Tx beam prediction, marginal performance loss is observed when the </w:t>
      </w:r>
      <w:r>
        <w:rPr>
          <w:rFonts w:hint="eastAsia"/>
          <w:sz w:val="20"/>
          <w:szCs w:val="20"/>
          <w:lang w:eastAsia="zh-CN"/>
        </w:rPr>
        <w:t xml:space="preserve">AI/ML model </w:t>
      </w:r>
      <w:r>
        <w:rPr>
          <w:rFonts w:hint="eastAsia"/>
          <w:sz w:val="20"/>
          <w:szCs w:val="20"/>
        </w:rPr>
        <w:t xml:space="preserve">inputs are Top 8 L1-RSRPs or Top 4 L1-RSRPs of all 16 Tx beam measurements. For Tx-Rx beam pair prediction, significant performance loss is observed when the </w:t>
      </w:r>
      <w:r>
        <w:rPr>
          <w:rFonts w:hint="eastAsia"/>
          <w:sz w:val="20"/>
          <w:szCs w:val="20"/>
          <w:lang w:eastAsia="zh-CN"/>
        </w:rPr>
        <w:t xml:space="preserve">AI/ML model </w:t>
      </w:r>
      <w:r>
        <w:rPr>
          <w:rFonts w:hint="eastAsia"/>
          <w:sz w:val="20"/>
          <w:szCs w:val="20"/>
        </w:rPr>
        <w:t xml:space="preserve">inputs are Top 8 L1-RSRPs or Top 4 L1-RSRPs of all 128 beam pair measurements. </w:t>
      </w:r>
      <w:r>
        <w:rPr>
          <w:rFonts w:hint="eastAsia" w:eastAsia="Times New Roman"/>
          <w:sz w:val="20"/>
          <w:szCs w:val="20"/>
        </w:rPr>
        <w:t xml:space="preserve">As can be concluded from the simulation results, to </w:t>
      </w:r>
      <w:r>
        <w:rPr>
          <w:rFonts w:hint="eastAsia"/>
          <w:sz w:val="20"/>
          <w:szCs w:val="20"/>
        </w:rPr>
        <w:t xml:space="preserve">reduce the overhead of UE feeding back beam measurement for DL Tx beam prediction, it is better to only report partial beams from a set of beams for measurement for a NW-side model. </w:t>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 xml:space="preserve">Table </w:t>
      </w:r>
      <w:r>
        <w:rPr>
          <w:rFonts w:hint="eastAsia" w:eastAsia="Times New Roman"/>
          <w:sz w:val="20"/>
          <w:szCs w:val="20"/>
          <w:lang w:val="en-GB"/>
        </w:rPr>
        <w:fldChar w:fldCharType="begin"/>
      </w:r>
      <w:r>
        <w:rPr>
          <w:rFonts w:hint="eastAsia" w:eastAsia="Times New Roman"/>
          <w:sz w:val="20"/>
          <w:szCs w:val="20"/>
          <w:lang w:val="en-GB"/>
        </w:rPr>
        <w:instrText xml:space="preserve"> = 6 \* ROMAN \* MERGEFORMAT </w:instrText>
      </w:r>
      <w:r>
        <w:rPr>
          <w:rFonts w:hint="eastAsia" w:eastAsia="Times New Roman"/>
          <w:sz w:val="20"/>
          <w:szCs w:val="20"/>
          <w:lang w:val="en-GB"/>
        </w:rPr>
        <w:fldChar w:fldCharType="separate"/>
      </w:r>
      <w:r>
        <w:rPr>
          <w:rFonts w:hint="eastAsia" w:eastAsia="Times New Roman"/>
          <w:sz w:val="20"/>
          <w:szCs w:val="20"/>
          <w:lang w:val="en-GB"/>
        </w:rPr>
        <w:t>VI</w:t>
      </w:r>
      <w:r>
        <w:rPr>
          <w:rFonts w:hint="eastAsia" w:eastAsia="Times New Roman"/>
          <w:sz w:val="20"/>
          <w:szCs w:val="20"/>
          <w:lang w:val="en-GB"/>
        </w:rPr>
        <w:fldChar w:fldCharType="end"/>
      </w:r>
      <w:r>
        <w:rPr>
          <w:rFonts w:hint="eastAsia" w:eastAsia="Times New Roman"/>
          <w:sz w:val="20"/>
          <w:szCs w:val="20"/>
          <w:lang w:val="en-GB"/>
        </w:rPr>
        <w:t>. Simulation results for different Top N Set B patterns</w:t>
      </w:r>
    </w:p>
    <w:tbl>
      <w:tblPr>
        <w:tblStyle w:val="24"/>
        <w:tblW w:w="416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116"/>
        <w:gridCol w:w="1274"/>
        <w:gridCol w:w="1205"/>
        <w:gridCol w:w="1128"/>
        <w:gridCol w:w="1108"/>
        <w:gridCol w:w="1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Align w:val="center"/>
          </w:tcPr>
          <w:p>
            <w:pPr>
              <w:widowControl w:val="0"/>
              <w:snapToGrid w:val="0"/>
              <w:spacing w:before="72" w:beforeLines="30" w:after="72" w:afterLines="30" w:line="288" w:lineRule="auto"/>
              <w:contextualSpacing/>
              <w:jc w:val="center"/>
              <w:rPr>
                <w:sz w:val="20"/>
                <w:szCs w:val="20"/>
              </w:rPr>
            </w:pPr>
            <w:r>
              <w:rPr>
                <w:sz w:val="20"/>
                <w:szCs w:val="20"/>
              </w:rPr>
              <w:t>Cases</w:t>
            </w:r>
          </w:p>
        </w:tc>
        <w:tc>
          <w:tcPr>
            <w:tcW w:w="699" w:type="pct"/>
            <w:vAlign w:val="center"/>
          </w:tcPr>
          <w:p>
            <w:pPr>
              <w:widowControl w:val="0"/>
              <w:snapToGrid w:val="0"/>
              <w:spacing w:before="72" w:beforeLines="30" w:after="72" w:afterLines="30" w:line="288" w:lineRule="auto"/>
              <w:contextualSpacing/>
              <w:jc w:val="center"/>
              <w:rPr>
                <w:sz w:val="20"/>
                <w:szCs w:val="20"/>
              </w:rPr>
            </w:pPr>
            <w:r>
              <w:rPr>
                <w:sz w:val="20"/>
                <w:szCs w:val="20"/>
              </w:rPr>
              <w:t>Non-AI/AI</w:t>
            </w:r>
          </w:p>
        </w:tc>
        <w:tc>
          <w:tcPr>
            <w:tcW w:w="798"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55"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706"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94"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Top-5 beams</w:t>
            </w:r>
          </w:p>
        </w:tc>
        <w:tc>
          <w:tcPr>
            <w:tcW w:w="643" w:type="pct"/>
            <w:tcBorders>
              <w:lef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restart"/>
            <w:vAlign w:val="center"/>
          </w:tcPr>
          <w:p>
            <w:pPr>
              <w:widowControl w:val="0"/>
              <w:snapToGrid w:val="0"/>
              <w:spacing w:before="72" w:beforeLines="30" w:after="72" w:afterLines="30" w:line="288" w:lineRule="auto"/>
              <w:contextualSpacing/>
              <w:jc w:val="center"/>
              <w:rPr>
                <w:sz w:val="20"/>
                <w:szCs w:val="20"/>
              </w:rPr>
            </w:pPr>
            <w:r>
              <w:rPr>
                <w:sz w:val="20"/>
                <w:szCs w:val="20"/>
              </w:rPr>
              <w:t>Case 1-3-1</w:t>
            </w:r>
          </w:p>
        </w:tc>
        <w:tc>
          <w:tcPr>
            <w:tcW w:w="699" w:type="pct"/>
            <w:vAlign w:val="center"/>
          </w:tcPr>
          <w:p>
            <w:pPr>
              <w:widowControl w:val="0"/>
              <w:snapToGrid w:val="0"/>
              <w:spacing w:before="72" w:beforeLines="30" w:after="72" w:afterLines="30" w:line="288" w:lineRule="auto"/>
              <w:contextualSpacing/>
              <w:jc w:val="center"/>
              <w:rPr>
                <w:sz w:val="20"/>
                <w:szCs w:val="20"/>
              </w:rPr>
            </w:pPr>
            <w:r>
              <w:rPr>
                <w:sz w:val="20"/>
                <w:szCs w:val="20"/>
              </w:rPr>
              <w:t>Non-AI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2.064        42.51 %        24.84 %        24.84 %        2.045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99" w:type="pct"/>
            <w:vAlign w:val="center"/>
          </w:tcPr>
          <w:p>
            <w:pPr>
              <w:widowControl w:val="0"/>
              <w:snapToGrid w:val="0"/>
              <w:spacing w:before="72" w:beforeLines="30" w:after="72" w:afterLines="30" w:line="288" w:lineRule="auto"/>
              <w:contextualSpacing/>
              <w:jc w:val="center"/>
              <w:rPr>
                <w:sz w:val="20"/>
                <w:szCs w:val="20"/>
              </w:rPr>
            </w:pPr>
            <w:r>
              <w:rPr>
                <w:sz w:val="20"/>
                <w:szCs w:val="20"/>
              </w:rPr>
              <w:t>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0.856        79.85 %        58.90 %        87.77 %        0.682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restart"/>
            <w:vAlign w:val="center"/>
          </w:tcPr>
          <w:p>
            <w:pPr>
              <w:widowControl w:val="0"/>
              <w:snapToGrid w:val="0"/>
              <w:spacing w:before="72" w:beforeLines="30" w:after="72" w:afterLines="30" w:line="288" w:lineRule="auto"/>
              <w:contextualSpacing/>
              <w:jc w:val="center"/>
              <w:rPr>
                <w:bCs/>
                <w:sz w:val="20"/>
                <w:szCs w:val="20"/>
              </w:rPr>
            </w:pPr>
            <w:r>
              <w:rPr>
                <w:sz w:val="20"/>
                <w:szCs w:val="20"/>
              </w:rPr>
              <w:t>Case 1-3-2</w:t>
            </w: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1.940        43.66 %        24.70 %        24.70 %        1.965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0.496        86.13 %        66.29 %        92.21 %        0.554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1-3-3</w:t>
            </w: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2.062        42.76 %        25.05 %        25.05 %        2.077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0.223        93.47 %        76.38 %        96.65 %        0.358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1-3-4</w:t>
            </w: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2.346        40.69 %        24.55 %        25.28 %        2.353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0.157        96.15 %        83.18 %        99.03 %        0.228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1-3-5</w:t>
            </w: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2.407        40.34 %        25.28 %        25.28 %        2.423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0.072        98.48 %        90.61 %        99.56 %        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restart"/>
            <w:vAlign w:val="center"/>
          </w:tcPr>
          <w:p>
            <w:pPr>
              <w:widowControl w:val="0"/>
              <w:snapToGrid w:val="0"/>
              <w:spacing w:before="72" w:beforeLines="30" w:after="72" w:afterLines="30" w:line="288" w:lineRule="auto"/>
              <w:contextualSpacing/>
              <w:jc w:val="center"/>
              <w:rPr>
                <w:bCs/>
                <w:sz w:val="20"/>
                <w:szCs w:val="20"/>
                <w:lang w:eastAsia="en-US"/>
              </w:rPr>
            </w:pPr>
            <w:r>
              <w:rPr>
                <w:sz w:val="20"/>
                <w:szCs w:val="20"/>
              </w:rPr>
              <w:t>Case 1-3-6</w:t>
            </w: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2.381        40.29 %        24.29 %        24.29 %        2.370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2"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69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98"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0.044        99.18 %        91.52 %        99.79 %        0.138</w:t>
            </w:r>
          </w:p>
        </w:tc>
      </w:tr>
    </w:tbl>
    <w:p>
      <w:pPr>
        <w:pStyle w:val="117"/>
        <w:spacing w:before="72" w:after="72"/>
        <w:jc w:val="both"/>
        <w:rPr>
          <w:kern w:val="2"/>
          <w:sz w:val="20"/>
          <w:szCs w:val="20"/>
        </w:rPr>
      </w:pPr>
      <w:r>
        <w:rPr>
          <w:rFonts w:hint="eastAsia"/>
          <w:kern w:val="2"/>
          <w:sz w:val="20"/>
          <w:szCs w:val="20"/>
        </w:rPr>
        <w:t xml:space="preserve">For DL Tx beam prediction, marginal performance loss is observed when the </w:t>
      </w:r>
      <w:r>
        <w:rPr>
          <w:rFonts w:hint="eastAsia"/>
          <w:kern w:val="2"/>
          <w:sz w:val="20"/>
          <w:szCs w:val="20"/>
          <w:lang w:eastAsia="zh-CN"/>
        </w:rPr>
        <w:t xml:space="preserve">AI/ML model </w:t>
      </w:r>
      <w:r>
        <w:rPr>
          <w:rFonts w:hint="eastAsia"/>
          <w:kern w:val="2"/>
          <w:sz w:val="20"/>
          <w:szCs w:val="20"/>
        </w:rPr>
        <w:t xml:space="preserve">inputs are Top 8 beams or Top 4 beams </w:t>
      </w:r>
      <w:r>
        <w:rPr>
          <w:kern w:val="2"/>
          <w:sz w:val="20"/>
          <w:szCs w:val="20"/>
        </w:rPr>
        <w:t xml:space="preserve">from the 16 measured beams compared with all measured beams are used as </w:t>
      </w:r>
      <w:r>
        <w:rPr>
          <w:rFonts w:hint="eastAsia"/>
          <w:kern w:val="2"/>
          <w:sz w:val="20"/>
          <w:szCs w:val="20"/>
          <w:lang w:eastAsia="zh-CN"/>
        </w:rPr>
        <w:t xml:space="preserve">AI/ML model </w:t>
      </w:r>
      <w:r>
        <w:rPr>
          <w:kern w:val="2"/>
          <w:sz w:val="20"/>
          <w:szCs w:val="20"/>
        </w:rPr>
        <w:t>input</w:t>
      </w:r>
      <w:r>
        <w:rPr>
          <w:rFonts w:hint="eastAsia"/>
          <w:kern w:val="2"/>
          <w:sz w:val="20"/>
          <w:szCs w:val="20"/>
        </w:rPr>
        <w:t>.</w:t>
      </w:r>
    </w:p>
    <w:p>
      <w:pPr>
        <w:pStyle w:val="117"/>
        <w:spacing w:before="72" w:after="72"/>
        <w:jc w:val="both"/>
        <w:rPr>
          <w:kern w:val="2"/>
          <w:sz w:val="20"/>
          <w:szCs w:val="20"/>
        </w:rPr>
      </w:pPr>
      <w:r>
        <w:rPr>
          <w:rFonts w:hint="eastAsia"/>
          <w:kern w:val="2"/>
          <w:sz w:val="20"/>
          <w:szCs w:val="20"/>
        </w:rPr>
        <w:t xml:space="preserve">For Tx-Rx beam pair prediction, significant performance loss is observed when the </w:t>
      </w:r>
      <w:r>
        <w:rPr>
          <w:rFonts w:hint="eastAsia"/>
          <w:kern w:val="2"/>
          <w:sz w:val="20"/>
          <w:szCs w:val="20"/>
          <w:lang w:eastAsia="zh-CN"/>
        </w:rPr>
        <w:t xml:space="preserve">AI/ML model </w:t>
      </w:r>
      <w:r>
        <w:rPr>
          <w:rFonts w:hint="eastAsia"/>
          <w:kern w:val="2"/>
          <w:sz w:val="20"/>
          <w:szCs w:val="20"/>
        </w:rPr>
        <w:t xml:space="preserve">inputs are Top 8 beams or Top 4 beams </w:t>
      </w:r>
      <w:r>
        <w:rPr>
          <w:kern w:val="2"/>
          <w:sz w:val="20"/>
          <w:szCs w:val="20"/>
        </w:rPr>
        <w:t>from the 128 measured beams</w:t>
      </w:r>
      <w:r>
        <w:rPr>
          <w:rFonts w:hint="eastAsia"/>
          <w:kern w:val="2"/>
          <w:sz w:val="20"/>
          <w:szCs w:val="20"/>
        </w:rPr>
        <w:t xml:space="preserve">. </w:t>
      </w:r>
    </w:p>
    <w:p>
      <w:pPr>
        <w:pStyle w:val="35"/>
        <w:spacing w:before="72" w:after="72"/>
        <w:jc w:val="both"/>
        <w:rPr>
          <w:kern w:val="2"/>
          <w:sz w:val="20"/>
          <w:szCs w:val="20"/>
        </w:rPr>
      </w:pPr>
      <w:r>
        <w:rPr>
          <w:rFonts w:hint="eastAsia"/>
          <w:kern w:val="2"/>
          <w:sz w:val="20"/>
          <w:szCs w:val="20"/>
        </w:rPr>
        <w:t xml:space="preserve">To reduce the overhead of UE feedback beam measurements for DL Tx beam prediction in BM-Case 1, it is better to only report partial beams from a set of beams for measurement for a NW-side model. </w:t>
      </w:r>
    </w:p>
    <w:p>
      <w:pPr>
        <w:pStyle w:val="35"/>
        <w:numPr>
          <w:ilvl w:val="0"/>
          <w:numId w:val="0"/>
        </w:numPr>
        <w:spacing w:before="72" w:after="72"/>
        <w:jc w:val="both"/>
        <w:rPr>
          <w:rFonts w:cs="Times New Roman"/>
          <w:color w:val="C55A11" w:themeColor="accent2" w:themeShade="BF"/>
          <w:kern w:val="2"/>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eastAsia="宋体"/>
          <w:b w:val="0"/>
          <w:bCs w:val="0"/>
          <w:kern w:val="2"/>
          <w:sz w:val="22"/>
          <w:szCs w:val="28"/>
          <w:lang w:val="en-US"/>
        </w:rPr>
        <w:t xml:space="preserve">Analysis on UCI payload overhead reduction </w:t>
      </w:r>
    </w:p>
    <w:p>
      <w:pPr>
        <w:snapToGrid w:val="0"/>
        <w:spacing w:before="72" w:beforeLines="30" w:after="72" w:afterLines="30" w:line="288" w:lineRule="auto"/>
        <w:rPr>
          <w:rFonts w:eastAsia="Times New Roman"/>
          <w:sz w:val="20"/>
          <w:szCs w:val="20"/>
        </w:rPr>
      </w:pPr>
      <w:r>
        <w:rPr>
          <w:rFonts w:eastAsia="Times New Roman"/>
          <w:sz w:val="20"/>
          <w:szCs w:val="20"/>
        </w:rPr>
        <w:t>In RAN1#112bis-e, the UCI report overhead and/or UCI overhead reduction was agreed to be an additional KPI to evaluate the performance of AI/ML in beam management at least for NW side beam prediction. The agreement is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bCs/>
                <w:sz w:val="20"/>
                <w:szCs w:val="20"/>
                <w:u w:val="single"/>
              </w:rPr>
            </w:pPr>
            <w:r>
              <w:rPr>
                <w:b/>
                <w:bCs/>
                <w:sz w:val="20"/>
                <w:szCs w:val="20"/>
                <w:u w:val="single"/>
              </w:rPr>
              <w:t>Agreement:</w:t>
            </w:r>
          </w:p>
          <w:p>
            <w:pPr>
              <w:widowControl w:val="0"/>
              <w:snapToGrid w:val="0"/>
              <w:spacing w:before="72" w:beforeLines="30" w:after="72" w:afterLines="30" w:line="288" w:lineRule="auto"/>
              <w:rPr>
                <w:sz w:val="20"/>
                <w:szCs w:val="20"/>
                <w:lang w:val="en-GB" w:eastAsia="en-US"/>
              </w:rPr>
            </w:pPr>
            <w:r>
              <w:rPr>
                <w:sz w:val="20"/>
                <w:szCs w:val="20"/>
                <w:lang w:val="en-GB" w:eastAsia="en-US"/>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UCI overhead reduction = 1- Total UCI payload size for AI/ML/Total UCI payload size of baseline.</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sz w:val="20"/>
                <w:szCs w:val="20"/>
              </w:rPr>
            </w:pPr>
            <w:r>
              <w:rPr>
                <w:rFonts w:eastAsia="Batang"/>
                <w:sz w:val="20"/>
                <w:szCs w:val="20"/>
                <w:lang w:val="en-GB" w:eastAsia="en-US"/>
              </w:rPr>
              <w:t>Companies to report detailed assumption of UCI for AI/ML and baseline, e.g., including quantization mechanism</w:t>
            </w:r>
          </w:p>
        </w:tc>
      </w:tr>
    </w:tbl>
    <w:p>
      <w:pPr>
        <w:numPr>
          <w:ilvl w:val="0"/>
          <w:numId w:val="13"/>
        </w:numPr>
        <w:snapToGrid w:val="0"/>
        <w:spacing w:before="72" w:beforeLines="30" w:after="72" w:afterLines="30" w:line="288" w:lineRule="auto"/>
        <w:rPr>
          <w:rFonts w:eastAsia="Times New Roman"/>
          <w:sz w:val="20"/>
          <w:szCs w:val="20"/>
        </w:rPr>
      </w:pPr>
      <w:r>
        <w:rPr>
          <w:rFonts w:hint="eastAsia"/>
          <w:sz w:val="20"/>
          <w:szCs w:val="20"/>
        </w:rPr>
        <w:t>Clarification on</w:t>
      </w:r>
      <w:r>
        <w:rPr>
          <w:rFonts w:eastAsia="Times New Roman"/>
          <w:sz w:val="20"/>
          <w:szCs w:val="20"/>
        </w:rPr>
        <w:t xml:space="preserve"> UCI payload overhead and baseline</w:t>
      </w:r>
    </w:p>
    <w:p>
      <w:pPr>
        <w:snapToGrid w:val="0"/>
        <w:spacing w:before="72" w:beforeLines="30" w:after="72" w:afterLines="30" w:line="288" w:lineRule="auto"/>
        <w:jc w:val="both"/>
        <w:rPr>
          <w:rFonts w:eastAsia="Times New Roman"/>
          <w:sz w:val="20"/>
          <w:szCs w:val="20"/>
        </w:rPr>
      </w:pPr>
      <w:r>
        <w:rPr>
          <w:sz w:val="20"/>
          <w:szCs w:val="20"/>
        </w:rPr>
        <w:t xml:space="preserve">To evaluate the UCI report overhead, the legacy quantization method is assumed, where the largest measured value of RSRP is quantized to a 7-bit value and the differential RSRP is quantized to a 4-bit value. The differential RSRP value is computed with 2 dB step size with a reference to the largest measured RSRP value which is part of the same RSRP reporting instance. All measurement results are assumed to be reported in one reporting instance and the </w:t>
      </w:r>
      <w:r>
        <w:rPr>
          <w:rFonts w:eastAsia="Times New Roman"/>
          <w:sz w:val="20"/>
          <w:szCs w:val="20"/>
        </w:rPr>
        <w:t>UCI contents</w:t>
      </w:r>
      <w:r>
        <w:rPr>
          <w:sz w:val="20"/>
          <w:szCs w:val="20"/>
        </w:rPr>
        <w:t xml:space="preserve"> </w:t>
      </w:r>
      <w:r>
        <w:rPr>
          <w:rFonts w:eastAsia="Times New Roman"/>
          <w:sz w:val="20"/>
          <w:szCs w:val="20"/>
        </w:rPr>
        <w:t xml:space="preserve">include </w:t>
      </w:r>
      <w:r>
        <w:rPr>
          <w:sz w:val="20"/>
          <w:szCs w:val="20"/>
        </w:rPr>
        <w:t>M</w:t>
      </w:r>
      <w:r>
        <w:rPr>
          <w:rFonts w:eastAsia="Times New Roman"/>
          <w:sz w:val="20"/>
          <w:szCs w:val="20"/>
        </w:rPr>
        <w:t xml:space="preserve"> CRIs and </w:t>
      </w:r>
      <w:r>
        <w:rPr>
          <w:sz w:val="20"/>
          <w:szCs w:val="20"/>
        </w:rPr>
        <w:t>N</w:t>
      </w:r>
      <w:r>
        <w:rPr>
          <w:rFonts w:eastAsia="Times New Roman"/>
          <w:sz w:val="20"/>
          <w:szCs w:val="20"/>
        </w:rPr>
        <w:t xml:space="preserve"> RSRPs</w:t>
      </w:r>
      <w:r>
        <w:rPr>
          <w:sz w:val="20"/>
          <w:szCs w:val="20"/>
        </w:rPr>
        <w:t xml:space="preserve">, where each CRI is represented by a </w:t>
      </w:r>
      <w:r>
        <w:rPr>
          <w:rFonts w:hint="eastAsia"/>
          <w:sz w:val="20"/>
          <w:szCs w:val="20"/>
        </w:rPr>
        <w:t>3</w:t>
      </w:r>
      <w:r>
        <w:rPr>
          <w:sz w:val="20"/>
          <w:szCs w:val="20"/>
        </w:rPr>
        <w:t>-bit</w:t>
      </w:r>
      <w:r>
        <w:rPr>
          <w:rFonts w:hint="eastAsia"/>
          <w:sz w:val="20"/>
          <w:szCs w:val="20"/>
        </w:rPr>
        <w:t xml:space="preserve"> or 4</w:t>
      </w:r>
      <w:r>
        <w:rPr>
          <w:sz w:val="20"/>
          <w:szCs w:val="20"/>
        </w:rPr>
        <w:t>-bit value</w:t>
      </w:r>
      <w:r>
        <w:rPr>
          <w:rFonts w:hint="eastAsia"/>
          <w:sz w:val="20"/>
          <w:szCs w:val="20"/>
        </w:rPr>
        <w:t xml:space="preserve"> based on the number of beams in the measured beam set</w:t>
      </w:r>
      <w:r>
        <w:rPr>
          <w:rFonts w:eastAsia="Times New Roman"/>
          <w:sz w:val="20"/>
          <w:szCs w:val="20"/>
        </w:rPr>
        <w:t>.</w:t>
      </w:r>
      <w:r>
        <w:rPr>
          <w:sz w:val="20"/>
          <w:szCs w:val="20"/>
        </w:rPr>
        <w:t xml:space="preserve"> The</w:t>
      </w:r>
      <w:r>
        <w:rPr>
          <w:rFonts w:eastAsia="Times New Roman"/>
          <w:sz w:val="20"/>
          <w:szCs w:val="20"/>
        </w:rPr>
        <w:t xml:space="preserve"> non-AI case</w:t>
      </w:r>
      <w:r>
        <w:rPr>
          <w:sz w:val="20"/>
          <w:szCs w:val="20"/>
        </w:rPr>
        <w:t xml:space="preserve"> is taken</w:t>
      </w:r>
      <w:r>
        <w:rPr>
          <w:rFonts w:eastAsia="Times New Roman"/>
          <w:sz w:val="20"/>
          <w:szCs w:val="20"/>
        </w:rPr>
        <w:t xml:space="preserve"> as </w:t>
      </w:r>
      <w:r>
        <w:rPr>
          <w:rFonts w:hint="eastAsia"/>
          <w:sz w:val="20"/>
          <w:szCs w:val="20"/>
        </w:rPr>
        <w:t xml:space="preserve">a </w:t>
      </w:r>
      <w:r>
        <w:rPr>
          <w:rFonts w:eastAsia="Times New Roman"/>
          <w:sz w:val="20"/>
          <w:szCs w:val="20"/>
        </w:rPr>
        <w:t>baseline where the optimal beam is obtained by measuring the uniformly sampled partial beams</w:t>
      </w:r>
      <w:r>
        <w:rPr>
          <w:sz w:val="20"/>
          <w:szCs w:val="20"/>
        </w:rPr>
        <w:t xml:space="preserve"> (i.e., Set C with 16 beams inside)</w:t>
      </w:r>
      <w:r>
        <w:rPr>
          <w:rFonts w:eastAsia="Times New Roman"/>
          <w:sz w:val="20"/>
          <w:szCs w:val="20"/>
        </w:rPr>
        <w:t xml:space="preserve"> and directly choosing the one with the largest measured RSRP.</w:t>
      </w:r>
      <w:r>
        <w:rPr>
          <w:sz w:val="20"/>
          <w:szCs w:val="20"/>
        </w:rPr>
        <w:t xml:space="preserve"> The number of beams to be reported for the non-AI case is assumed to be 4 as with legacy.</w:t>
      </w:r>
    </w:p>
    <w:p>
      <w:pPr>
        <w:numPr>
          <w:ilvl w:val="0"/>
          <w:numId w:val="13"/>
        </w:numPr>
        <w:snapToGrid w:val="0"/>
        <w:spacing w:before="72" w:beforeLines="30" w:after="72" w:afterLines="30" w:line="288" w:lineRule="auto"/>
        <w:rPr>
          <w:rFonts w:eastAsia="Times New Roman"/>
          <w:sz w:val="20"/>
          <w:szCs w:val="20"/>
        </w:rPr>
      </w:pPr>
      <w:r>
        <w:rPr>
          <w:rFonts w:eastAsia="Times New Roman"/>
          <w:sz w:val="20"/>
          <w:szCs w:val="20"/>
        </w:rPr>
        <w:t xml:space="preserve">Performance comparison between different </w:t>
      </w:r>
      <w:r>
        <w:rPr>
          <w:sz w:val="20"/>
          <w:szCs w:val="20"/>
        </w:rPr>
        <w:t>cases</w:t>
      </w:r>
    </w:p>
    <w:p>
      <w:pPr>
        <w:snapToGrid w:val="0"/>
        <w:spacing w:before="72" w:beforeLines="30" w:after="72" w:afterLines="30" w:line="288" w:lineRule="auto"/>
        <w:rPr>
          <w:sz w:val="20"/>
          <w:szCs w:val="20"/>
        </w:rPr>
      </w:pPr>
      <w:r>
        <w:rPr>
          <w:rFonts w:hint="eastAsia"/>
          <w:sz w:val="20"/>
          <w:szCs w:val="20"/>
        </w:rPr>
        <w:t>The following two cases are considered for the evaluation of UCI payload overhead reduction:</w:t>
      </w:r>
    </w:p>
    <w:p>
      <w:pPr>
        <w:numPr>
          <w:ilvl w:val="0"/>
          <w:numId w:val="14"/>
        </w:numPr>
        <w:snapToGrid w:val="0"/>
        <w:spacing w:before="72" w:beforeLines="30" w:after="72" w:afterLines="30" w:line="288" w:lineRule="auto"/>
        <w:jc w:val="both"/>
        <w:rPr>
          <w:kern w:val="2"/>
          <w:sz w:val="20"/>
          <w:szCs w:val="20"/>
        </w:rPr>
      </w:pPr>
      <w:r>
        <w:rPr>
          <w:rFonts w:hint="eastAsia"/>
          <w:kern w:val="2"/>
          <w:sz w:val="20"/>
          <w:szCs w:val="20"/>
        </w:rPr>
        <w:t xml:space="preserve">Case 1-4-1: </w:t>
      </w:r>
      <w:r>
        <w:rPr>
          <w:kern w:val="2"/>
          <w:sz w:val="20"/>
          <w:szCs w:val="20"/>
        </w:rPr>
        <w:t xml:space="preserve">Set B equals to </w:t>
      </w:r>
      <w:r>
        <w:rPr>
          <w:rFonts w:hint="eastAsia"/>
          <w:kern w:val="2"/>
          <w:sz w:val="20"/>
          <w:szCs w:val="20"/>
        </w:rPr>
        <w:t xml:space="preserve">the measured beam set (i.e., </w:t>
      </w:r>
      <w:r>
        <w:rPr>
          <w:kern w:val="2"/>
          <w:sz w:val="20"/>
          <w:szCs w:val="20"/>
        </w:rPr>
        <w:t>Set C</w:t>
      </w:r>
      <w:r>
        <w:rPr>
          <w:rFonts w:hint="eastAsia"/>
          <w:kern w:val="2"/>
          <w:sz w:val="20"/>
          <w:szCs w:val="20"/>
        </w:rPr>
        <w:t xml:space="preserve">). In this case, all beams in the measured beam set needs to be reported and served as the </w:t>
      </w:r>
      <w:r>
        <w:rPr>
          <w:rFonts w:hint="eastAsia"/>
          <w:kern w:val="2"/>
          <w:sz w:val="20"/>
          <w:szCs w:val="20"/>
          <w:lang w:eastAsia="zh-CN"/>
        </w:rPr>
        <w:t xml:space="preserve">AI/ML model </w:t>
      </w:r>
      <w:r>
        <w:rPr>
          <w:rFonts w:hint="eastAsia"/>
          <w:kern w:val="2"/>
          <w:sz w:val="20"/>
          <w:szCs w:val="20"/>
        </w:rPr>
        <w:t xml:space="preserve">input, where the number of beams in Set C is set as 8 or 16 for comparison. Besides, </w:t>
      </w:r>
      <w:r>
        <w:rPr>
          <w:rFonts w:hint="eastAsia"/>
          <w:sz w:val="20"/>
          <w:szCs w:val="20"/>
        </w:rPr>
        <w:t xml:space="preserve">as mentioned in our accompanied contribution, if all beams in the beam set are reported, only the CRI associated with the </w:t>
      </w:r>
      <w:r>
        <w:rPr>
          <w:rFonts w:eastAsia="Times New Roman"/>
          <w:sz w:val="20"/>
          <w:szCs w:val="20"/>
        </w:rPr>
        <w:t xml:space="preserve">largest </w:t>
      </w:r>
      <w:r>
        <w:rPr>
          <w:rFonts w:hint="eastAsia"/>
          <w:sz w:val="20"/>
          <w:szCs w:val="20"/>
        </w:rPr>
        <w:t xml:space="preserve">RSRP needs to be reported and all other CRIs can be implicitly obtained by the </w:t>
      </w:r>
      <w:r>
        <w:rPr>
          <w:sz w:val="20"/>
          <w:szCs w:val="20"/>
        </w:rPr>
        <w:t>RSRP</w:t>
      </w:r>
      <w:r>
        <w:rPr>
          <w:rFonts w:hint="eastAsia"/>
          <w:sz w:val="20"/>
          <w:szCs w:val="20"/>
        </w:rPr>
        <w:t xml:space="preserve"> mapping order. As a result, the UCI payload overhead can be greatly reduced.</w:t>
      </w:r>
    </w:p>
    <w:p>
      <w:pPr>
        <w:numPr>
          <w:ilvl w:val="0"/>
          <w:numId w:val="14"/>
        </w:numPr>
        <w:snapToGrid w:val="0"/>
        <w:spacing w:before="72" w:beforeLines="30" w:after="72" w:afterLines="30" w:line="288" w:lineRule="auto"/>
        <w:jc w:val="both"/>
        <w:rPr>
          <w:kern w:val="2"/>
          <w:sz w:val="20"/>
          <w:szCs w:val="20"/>
        </w:rPr>
      </w:pPr>
      <w:r>
        <w:rPr>
          <w:rFonts w:hint="eastAsia"/>
          <w:kern w:val="2"/>
          <w:sz w:val="20"/>
          <w:szCs w:val="20"/>
        </w:rPr>
        <w:t xml:space="preserve">Case 1-4-2: </w:t>
      </w:r>
      <w:r>
        <w:rPr>
          <w:kern w:val="2"/>
          <w:sz w:val="20"/>
          <w:szCs w:val="20"/>
        </w:rPr>
        <w:t xml:space="preserve">Set B </w:t>
      </w:r>
      <w:r>
        <w:rPr>
          <w:rFonts w:hint="eastAsia"/>
          <w:kern w:val="2"/>
          <w:sz w:val="20"/>
          <w:szCs w:val="20"/>
        </w:rPr>
        <w:t>is a subset of</w:t>
      </w:r>
      <w:r>
        <w:rPr>
          <w:kern w:val="2"/>
          <w:sz w:val="20"/>
          <w:szCs w:val="20"/>
        </w:rPr>
        <w:t xml:space="preserve"> </w:t>
      </w:r>
      <w:r>
        <w:rPr>
          <w:rFonts w:hint="eastAsia"/>
          <w:kern w:val="2"/>
          <w:sz w:val="20"/>
          <w:szCs w:val="20"/>
        </w:rPr>
        <w:t xml:space="preserve">the measured beam set (i.e., </w:t>
      </w:r>
      <w:r>
        <w:rPr>
          <w:kern w:val="2"/>
          <w:sz w:val="20"/>
          <w:szCs w:val="20"/>
        </w:rPr>
        <w:t>Set C</w:t>
      </w:r>
      <w:r>
        <w:rPr>
          <w:rFonts w:hint="eastAsia"/>
          <w:kern w:val="2"/>
          <w:sz w:val="20"/>
          <w:szCs w:val="20"/>
        </w:rPr>
        <w:t>). In this case, only partial Top-K beams with larger measured RSRPs in the measured beam set are reported, where the number of beams in Set B is set as 4 or 8 for comparison. Besides, all RSRPs to be reported are associated with respective CRIs for differentiation. Compared with the first case, the UCI payload overhead can be reduced as only partial beams in the measured beam set are reported.</w:t>
      </w:r>
    </w:p>
    <w:p>
      <w:pPr>
        <w:pStyle w:val="35"/>
        <w:numPr>
          <w:ilvl w:val="0"/>
          <w:numId w:val="0"/>
        </w:numPr>
        <w:snapToGrid w:val="0"/>
        <w:spacing w:before="72" w:after="72"/>
        <w:jc w:val="both"/>
        <w:rPr>
          <w:rFonts w:cs="Times New Roman"/>
          <w:b w:val="0"/>
          <w:bCs w:val="0"/>
          <w:i w:val="0"/>
          <w:iCs w:val="0"/>
          <w:kern w:val="2"/>
          <w:sz w:val="20"/>
          <w:szCs w:val="20"/>
          <w:lang w:val="en-US"/>
        </w:rPr>
      </w:pPr>
      <w:r>
        <w:rPr>
          <w:rFonts w:hint="eastAsia" w:cs="Times New Roman"/>
          <w:b w:val="0"/>
          <w:bCs w:val="0"/>
          <w:i w:val="0"/>
          <w:iCs w:val="0"/>
          <w:kern w:val="2"/>
          <w:sz w:val="20"/>
          <w:szCs w:val="20"/>
          <w:lang w:val="en-US"/>
        </w:rPr>
        <w:t>All cases and corresponding simulation results are summarized in the following table for comparison. Generally, more UCI payload brings better beam prediction performance. As observed, compared with the case that Set B equals to Set C and all beams are reported (i.e., Case 1-4-1), only marginal performance loss in term of beam prediction accuracy is obtained for the case that Top-4 or Top-8 beams with larger RSRP are reported. The t</w:t>
      </w:r>
      <w:r>
        <w:rPr>
          <w:rFonts w:cs="Times New Roman"/>
          <w:b w:val="0"/>
          <w:bCs w:val="0"/>
          <w:i w:val="0"/>
          <w:iCs w:val="0"/>
          <w:kern w:val="2"/>
          <w:sz w:val="20"/>
          <w:szCs w:val="20"/>
        </w:rPr>
        <w:t>otal UCI payload size</w:t>
      </w:r>
      <w:r>
        <w:rPr>
          <w:rFonts w:hint="eastAsia" w:cs="Times New Roman"/>
          <w:b w:val="0"/>
          <w:bCs w:val="0"/>
          <w:i w:val="0"/>
          <w:iCs w:val="0"/>
          <w:kern w:val="2"/>
          <w:sz w:val="20"/>
          <w:szCs w:val="20"/>
          <w:lang w:val="en-US"/>
        </w:rPr>
        <w:t xml:space="preserve"> is greatly reduced by only reporting partial beams in Case 1-4-2. Besides, if only the beam index associated with the largest RSRP is reported and other beam indices are not reported, the </w:t>
      </w:r>
      <w:r>
        <w:rPr>
          <w:rFonts w:cs="Times New Roman"/>
          <w:b w:val="0"/>
          <w:bCs w:val="0"/>
          <w:i w:val="0"/>
          <w:iCs w:val="0"/>
          <w:kern w:val="2"/>
          <w:sz w:val="20"/>
          <w:szCs w:val="20"/>
        </w:rPr>
        <w:t>UCI payload size</w:t>
      </w:r>
      <w:r>
        <w:rPr>
          <w:rFonts w:hint="eastAsia" w:cs="Times New Roman"/>
          <w:b w:val="0"/>
          <w:bCs w:val="0"/>
          <w:i w:val="0"/>
          <w:iCs w:val="0"/>
          <w:kern w:val="2"/>
          <w:sz w:val="20"/>
          <w:szCs w:val="20"/>
          <w:lang w:val="en-US"/>
        </w:rPr>
        <w:t xml:space="preserve"> of Case 1-4-1 can be greatly reduced. Furthermore, we can conclude from the simulation results that reporting Top-K (K=4 or 8) beams with larger RSRP from all beams in the measured beam set achieves the best trade-off between beam prediction accuracy and UCI payload overhead.</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1138"/>
        <w:gridCol w:w="1404"/>
        <w:gridCol w:w="1606"/>
        <w:gridCol w:w="1542"/>
        <w:gridCol w:w="102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pct"/>
          </w:tcPr>
          <w:p>
            <w:pPr>
              <w:pStyle w:val="3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Simulation cases</w:t>
            </w:r>
          </w:p>
        </w:tc>
        <w:tc>
          <w:tcPr>
            <w:tcW w:w="594" w:type="pct"/>
          </w:tcPr>
          <w:p>
            <w:pPr>
              <w:pStyle w:val="3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Number of beams in Set B</w:t>
            </w:r>
          </w:p>
        </w:tc>
        <w:tc>
          <w:tcPr>
            <w:tcW w:w="733" w:type="pct"/>
          </w:tcPr>
          <w:p>
            <w:pPr>
              <w:pStyle w:val="3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sz w:val="20"/>
                <w:szCs w:val="20"/>
              </w:rPr>
              <w:t>Beam prediction accuracy for Top-1 beam</w:t>
            </w:r>
          </w:p>
        </w:tc>
        <w:tc>
          <w:tcPr>
            <w:tcW w:w="838" w:type="pct"/>
          </w:tcPr>
          <w:p>
            <w:pPr>
              <w:pStyle w:val="3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kern w:val="2"/>
                <w:sz w:val="20"/>
                <w:szCs w:val="20"/>
              </w:rPr>
              <w:t>Beam</w:t>
            </w:r>
            <w:r>
              <w:rPr>
                <w:rFonts w:hint="eastAsia" w:cs="Times New Roman"/>
                <w:b w:val="0"/>
                <w:bCs w:val="0"/>
                <w:i w:val="0"/>
                <w:iCs w:val="0"/>
                <w:kern w:val="2"/>
                <w:sz w:val="20"/>
                <w:szCs w:val="20"/>
                <w:lang w:val="en-US"/>
              </w:rPr>
              <w:t xml:space="preserve"> </w:t>
            </w:r>
            <w:r>
              <w:rPr>
                <w:rFonts w:cs="Times New Roman"/>
                <w:b w:val="0"/>
                <w:bCs w:val="0"/>
                <w:i w:val="0"/>
                <w:iCs w:val="0"/>
                <w:kern w:val="2"/>
                <w:sz w:val="20"/>
                <w:szCs w:val="20"/>
              </w:rPr>
              <w:t>prediction accuracy with 1dB margin for Top-1 beam</w:t>
            </w:r>
          </w:p>
        </w:tc>
        <w:tc>
          <w:tcPr>
            <w:tcW w:w="805" w:type="pct"/>
          </w:tcPr>
          <w:p>
            <w:pPr>
              <w:pStyle w:val="3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kern w:val="2"/>
                <w:sz w:val="20"/>
                <w:szCs w:val="20"/>
              </w:rPr>
              <w:t>Average L1-RSRP difference of Top-1 predicted beam</w:t>
            </w:r>
          </w:p>
        </w:tc>
        <w:tc>
          <w:tcPr>
            <w:tcW w:w="536" w:type="pct"/>
          </w:tcPr>
          <w:p>
            <w:pPr>
              <w:pStyle w:val="3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kern w:val="2"/>
                <w:sz w:val="20"/>
                <w:szCs w:val="20"/>
              </w:rPr>
              <w:t>Total UCI payload size</w:t>
            </w:r>
          </w:p>
          <w:p>
            <w:pPr>
              <w:pStyle w:val="35"/>
              <w:numPr>
                <w:ilvl w:val="0"/>
                <w:numId w:val="0"/>
              </w:numPr>
              <w:snapToGrid w:val="0"/>
              <w:spacing w:before="72" w:after="72"/>
              <w:jc w:val="both"/>
              <w:rPr>
                <w:rFonts w:cs="Times New Roman"/>
                <w:b w:val="0"/>
                <w:bCs w:val="0"/>
                <w:i w:val="0"/>
                <w:iCs w:val="0"/>
                <w:sz w:val="20"/>
                <w:szCs w:val="20"/>
              </w:rPr>
            </w:pPr>
          </w:p>
        </w:tc>
        <w:tc>
          <w:tcPr>
            <w:tcW w:w="651" w:type="pct"/>
          </w:tcPr>
          <w:p>
            <w:pPr>
              <w:pStyle w:val="35"/>
              <w:numPr>
                <w:ilvl w:val="0"/>
                <w:numId w:val="0"/>
              </w:numPr>
              <w:snapToGrid w:val="0"/>
              <w:spacing w:before="72" w:after="72"/>
              <w:jc w:val="both"/>
              <w:rPr>
                <w:rFonts w:cs="Times New Roman"/>
                <w:b w:val="0"/>
                <w:bCs w:val="0"/>
                <w:i w:val="0"/>
                <w:iCs w:val="0"/>
                <w:kern w:val="2"/>
                <w:sz w:val="20"/>
                <w:szCs w:val="20"/>
              </w:rPr>
            </w:pPr>
            <w:r>
              <w:rPr>
                <w:rFonts w:cs="Times New Roman"/>
                <w:b w:val="0"/>
                <w:bCs w:val="0"/>
                <w:i w:val="0"/>
                <w:iCs w:val="0"/>
                <w:kern w:val="2"/>
                <w:sz w:val="20"/>
                <w:szCs w:val="20"/>
              </w:rPr>
              <w:t>Reporting overhead reduction</w:t>
            </w:r>
          </w:p>
          <w:p>
            <w:pPr>
              <w:pStyle w:val="35"/>
              <w:numPr>
                <w:ilvl w:val="0"/>
                <w:numId w:val="0"/>
              </w:numPr>
              <w:snapToGrid w:val="0"/>
              <w:spacing w:before="72" w:after="72"/>
              <w:jc w:val="both"/>
              <w:rPr>
                <w:rFonts w:cs="Times New Roman"/>
                <w:b w:val="0"/>
                <w:bCs w:val="0"/>
                <w:i w:val="0"/>
                <w:iCs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pct"/>
            <w:vAlign w:val="center"/>
          </w:tcPr>
          <w:p>
            <w:pPr>
              <w:pStyle w:val="35"/>
              <w:numPr>
                <w:ilvl w:val="0"/>
                <w:numId w:val="0"/>
              </w:numPr>
              <w:snapToGrid w:val="0"/>
              <w:spacing w:before="72" w:after="72"/>
              <w:ind w:left="0" w:leftChars="0" w:firstLine="0" w:firstLineChars="0"/>
              <w:rPr>
                <w:rFonts w:ascii="Times New Roman" w:hAnsi="Times New Roman" w:cs="Times New Roman" w:eastAsiaTheme="minorEastAsia"/>
                <w:b w:val="0"/>
                <w:bCs w:val="0"/>
                <w:i w:val="0"/>
                <w:iCs w:val="0"/>
                <w:kern w:val="2"/>
                <w:sz w:val="20"/>
                <w:szCs w:val="20"/>
                <w:lang w:val="en-US" w:eastAsia="zh-CN" w:bidi="ar-SA"/>
              </w:rPr>
            </w:pPr>
            <w:r>
              <w:rPr>
                <w:rFonts w:cs="Times New Roman"/>
                <w:b w:val="0"/>
                <w:bCs w:val="0"/>
                <w:i w:val="0"/>
                <w:iCs w:val="0"/>
                <w:kern w:val="2"/>
                <w:sz w:val="20"/>
                <w:szCs w:val="20"/>
                <w:lang w:val="en-US"/>
              </w:rPr>
              <w:t xml:space="preserve">Baseline </w:t>
            </w:r>
          </w:p>
        </w:tc>
        <w:tc>
          <w:tcPr>
            <w:tcW w:w="594" w:type="pct"/>
            <w:vAlign w:val="top"/>
          </w:tcPr>
          <w:p>
            <w:pPr>
              <w:pStyle w:val="35"/>
              <w:numPr>
                <w:ilvl w:val="0"/>
                <w:numId w:val="0"/>
              </w:numPr>
              <w:snapToGrid w:val="0"/>
              <w:spacing w:before="72" w:after="72"/>
              <w:ind w:left="0" w:leftChars="0" w:firstLine="0" w:firstLineChars="0"/>
              <w:jc w:val="center"/>
              <w:rPr>
                <w:rFonts w:ascii="Times New Roman" w:hAnsi="Times New Roman" w:cs="Times New Roman" w:eastAsiaTheme="minorEastAsia"/>
                <w:b w:val="0"/>
                <w:bCs w:val="0"/>
                <w:i w:val="0"/>
                <w:iCs w:val="0"/>
                <w:kern w:val="2"/>
                <w:sz w:val="20"/>
                <w:szCs w:val="20"/>
                <w:lang w:val="en-US" w:eastAsia="zh-CN" w:bidi="ar-SA"/>
              </w:rPr>
            </w:pPr>
            <w:r>
              <w:rPr>
                <w:rFonts w:cs="Times New Roman"/>
                <w:b w:val="0"/>
                <w:bCs w:val="0"/>
                <w:i w:val="0"/>
                <w:iCs w:val="0"/>
                <w:kern w:val="2"/>
                <w:sz w:val="20"/>
                <w:szCs w:val="20"/>
                <w:lang w:val="en-US"/>
              </w:rPr>
              <w:t>4</w:t>
            </w:r>
          </w:p>
        </w:tc>
        <w:tc>
          <w:tcPr>
            <w:tcW w:w="733" w:type="pct"/>
            <w:vAlign w:val="center"/>
          </w:tcPr>
          <w:p>
            <w:pPr>
              <w:pStyle w:val="35"/>
              <w:numPr>
                <w:ilvl w:val="0"/>
                <w:numId w:val="0"/>
              </w:numPr>
              <w:snapToGrid w:val="0"/>
              <w:spacing w:before="72" w:after="72"/>
              <w:ind w:left="0" w:leftChars="0" w:firstLine="0" w:firstLineChars="0"/>
              <w:jc w:val="center"/>
              <w:rPr>
                <w:rFonts w:ascii="Times New Roman" w:hAnsi="Times New Roman" w:cs="Times New Roman" w:eastAsiaTheme="minorEastAsia"/>
                <w:b w:val="0"/>
                <w:bCs w:val="0"/>
                <w:i w:val="0"/>
                <w:iCs w:val="0"/>
                <w:kern w:val="2"/>
                <w:sz w:val="20"/>
                <w:szCs w:val="20"/>
                <w:lang w:val="en-GB" w:eastAsia="zh-CN" w:bidi="ar-SA"/>
              </w:rPr>
            </w:pPr>
            <w:r>
              <w:rPr>
                <w:rFonts w:cs="Times New Roman"/>
                <w:b w:val="0"/>
                <w:bCs w:val="0"/>
                <w:i w:val="0"/>
                <w:iCs w:val="0"/>
                <w:kern w:val="2"/>
                <w:sz w:val="20"/>
                <w:szCs w:val="20"/>
              </w:rPr>
              <w:t>24.29 %</w:t>
            </w:r>
          </w:p>
        </w:tc>
        <w:tc>
          <w:tcPr>
            <w:tcW w:w="838" w:type="pct"/>
            <w:vAlign w:val="center"/>
          </w:tcPr>
          <w:p>
            <w:pPr>
              <w:pStyle w:val="35"/>
              <w:numPr>
                <w:ilvl w:val="0"/>
                <w:numId w:val="0"/>
              </w:numPr>
              <w:snapToGrid w:val="0"/>
              <w:spacing w:before="72" w:after="72"/>
              <w:ind w:left="0" w:leftChars="0" w:firstLine="0" w:firstLineChars="0"/>
              <w:jc w:val="center"/>
              <w:rPr>
                <w:rFonts w:ascii="Times New Roman" w:hAnsi="Times New Roman" w:cs="Times New Roman" w:eastAsiaTheme="minorEastAsia"/>
                <w:b w:val="0"/>
                <w:bCs w:val="0"/>
                <w:i w:val="0"/>
                <w:iCs w:val="0"/>
                <w:kern w:val="2"/>
                <w:sz w:val="20"/>
                <w:szCs w:val="20"/>
                <w:lang w:val="en-GB" w:eastAsia="zh-CN" w:bidi="ar-SA"/>
              </w:rPr>
            </w:pPr>
            <w:r>
              <w:rPr>
                <w:rFonts w:cs="Times New Roman"/>
                <w:b w:val="0"/>
                <w:bCs w:val="0"/>
                <w:i w:val="0"/>
                <w:iCs w:val="0"/>
                <w:sz w:val="20"/>
                <w:szCs w:val="20"/>
              </w:rPr>
              <w:t>40.29 %</w:t>
            </w:r>
          </w:p>
        </w:tc>
        <w:tc>
          <w:tcPr>
            <w:tcW w:w="805" w:type="pct"/>
            <w:vAlign w:val="center"/>
          </w:tcPr>
          <w:p>
            <w:pPr>
              <w:pStyle w:val="35"/>
              <w:numPr>
                <w:ilvl w:val="0"/>
                <w:numId w:val="0"/>
              </w:numPr>
              <w:snapToGrid w:val="0"/>
              <w:spacing w:before="72" w:after="72"/>
              <w:ind w:left="0" w:leftChars="0" w:firstLine="0" w:firstLineChars="0"/>
              <w:jc w:val="center"/>
              <w:rPr>
                <w:rFonts w:ascii="Times New Roman" w:hAnsi="Times New Roman" w:cs="Times New Roman" w:eastAsiaTheme="minorEastAsia"/>
                <w:b w:val="0"/>
                <w:bCs w:val="0"/>
                <w:i w:val="0"/>
                <w:iCs w:val="0"/>
                <w:kern w:val="2"/>
                <w:sz w:val="20"/>
                <w:szCs w:val="20"/>
                <w:lang w:val="en-GB" w:eastAsia="zh-CN" w:bidi="ar-SA"/>
              </w:rPr>
            </w:pPr>
            <w:r>
              <w:rPr>
                <w:rFonts w:cs="Times New Roman"/>
                <w:b w:val="0"/>
                <w:bCs w:val="0"/>
                <w:i w:val="0"/>
                <w:iCs w:val="0"/>
                <w:sz w:val="20"/>
                <w:szCs w:val="20"/>
              </w:rPr>
              <w:t>2.381</w:t>
            </w:r>
          </w:p>
        </w:tc>
        <w:tc>
          <w:tcPr>
            <w:tcW w:w="536" w:type="pct"/>
            <w:vAlign w:val="center"/>
          </w:tcPr>
          <w:p>
            <w:pPr>
              <w:pStyle w:val="35"/>
              <w:numPr>
                <w:ilvl w:val="0"/>
                <w:numId w:val="0"/>
              </w:numPr>
              <w:snapToGrid w:val="0"/>
              <w:spacing w:before="72" w:after="72"/>
              <w:ind w:left="0" w:leftChars="0" w:firstLine="0" w:firstLineChars="0"/>
              <w:jc w:val="center"/>
              <w:rPr>
                <w:rFonts w:ascii="Times New Roman" w:hAnsi="Times New Roman" w:cs="Times New Roman" w:eastAsiaTheme="minorEastAsia"/>
                <w:b w:val="0"/>
                <w:bCs w:val="0"/>
                <w:i w:val="0"/>
                <w:iCs w:val="0"/>
                <w:kern w:val="2"/>
                <w:sz w:val="20"/>
                <w:szCs w:val="20"/>
                <w:lang w:val="en-US" w:eastAsia="zh-CN" w:bidi="ar-SA"/>
              </w:rPr>
            </w:pPr>
            <w:r>
              <w:rPr>
                <w:rFonts w:cs="Times New Roman"/>
                <w:b w:val="0"/>
                <w:bCs w:val="0"/>
                <w:i w:val="0"/>
                <w:iCs w:val="0"/>
                <w:kern w:val="2"/>
                <w:sz w:val="20"/>
                <w:szCs w:val="20"/>
                <w:lang w:val="en-US"/>
              </w:rPr>
              <w:t>35</w:t>
            </w:r>
          </w:p>
        </w:tc>
        <w:tc>
          <w:tcPr>
            <w:tcW w:w="651" w:type="pct"/>
            <w:vAlign w:val="center"/>
          </w:tcPr>
          <w:p>
            <w:pPr>
              <w:pStyle w:val="35"/>
              <w:numPr>
                <w:ilvl w:val="0"/>
                <w:numId w:val="0"/>
              </w:numPr>
              <w:snapToGrid w:val="0"/>
              <w:spacing w:before="72" w:after="72"/>
              <w:ind w:left="0" w:leftChars="0" w:firstLine="0" w:firstLineChars="0"/>
              <w:jc w:val="center"/>
              <w:rPr>
                <w:rFonts w:ascii="Times New Roman" w:hAnsi="Times New Roman" w:cs="Times New Roman" w:eastAsiaTheme="minorEastAsia"/>
                <w:b w:val="0"/>
                <w:bCs w:val="0"/>
                <w:i w:val="0"/>
                <w:iCs w:val="0"/>
                <w:kern w:val="2"/>
                <w:sz w:val="20"/>
                <w:szCs w:val="20"/>
                <w:lang w:val="en-US" w:eastAsia="zh-CN" w:bidi="ar-SA"/>
              </w:rPr>
            </w:pPr>
            <w:r>
              <w:rPr>
                <w:rFonts w:hint="eastAsia" w:cs="Times New Roman"/>
                <w:b w:val="0"/>
                <w:bCs w:val="0"/>
                <w:i w:val="0"/>
                <w:iCs w:val="0"/>
                <w:kern w:val="2"/>
                <w:sz w:val="20"/>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pct"/>
            <w:vMerge w:val="restart"/>
            <w:vAlign w:val="center"/>
          </w:tcPr>
          <w:p>
            <w:pPr>
              <w:pStyle w:val="35"/>
              <w:numPr>
                <w:ilvl w:val="0"/>
                <w:numId w:val="0"/>
              </w:numPr>
              <w:snapToGrid w:val="0"/>
              <w:spacing w:before="72" w:after="72"/>
              <w:rPr>
                <w:rFonts w:cs="Times New Roman"/>
                <w:b w:val="0"/>
                <w:bCs w:val="0"/>
                <w:i w:val="0"/>
                <w:iCs w:val="0"/>
                <w:kern w:val="2"/>
                <w:sz w:val="20"/>
                <w:szCs w:val="20"/>
              </w:rPr>
            </w:pPr>
            <w:r>
              <w:rPr>
                <w:rFonts w:hint="eastAsia" w:cs="Times New Roman"/>
                <w:b w:val="0"/>
                <w:bCs w:val="0"/>
                <w:i w:val="0"/>
                <w:iCs w:val="0"/>
                <w:kern w:val="2"/>
                <w:sz w:val="20"/>
                <w:szCs w:val="20"/>
                <w:lang w:val="en-US"/>
              </w:rPr>
              <w:t xml:space="preserve">Case 1-4-1: </w:t>
            </w:r>
            <w:r>
              <w:rPr>
                <w:rFonts w:cs="Times New Roman"/>
                <w:b w:val="0"/>
                <w:bCs w:val="0"/>
                <w:i w:val="0"/>
                <w:iCs w:val="0"/>
                <w:kern w:val="2"/>
                <w:sz w:val="20"/>
                <w:szCs w:val="20"/>
                <w:lang w:val="en-US"/>
              </w:rPr>
              <w:t>AI method when Set B equals to Set C</w:t>
            </w:r>
          </w:p>
        </w:tc>
        <w:tc>
          <w:tcPr>
            <w:tcW w:w="594" w:type="pct"/>
          </w:tcPr>
          <w:p>
            <w:pPr>
              <w:pStyle w:val="3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 xml:space="preserve">|Set B|=8 with </w:t>
            </w:r>
            <w:r>
              <w:rPr>
                <w:rFonts w:hint="eastAsia" w:cs="Times New Roman"/>
                <w:b w:val="0"/>
                <w:bCs w:val="0"/>
                <w:i w:val="0"/>
                <w:iCs w:val="0"/>
                <w:kern w:val="2"/>
                <w:sz w:val="20"/>
                <w:szCs w:val="20"/>
                <w:lang w:val="en-US"/>
              </w:rPr>
              <w:t xml:space="preserve">all </w:t>
            </w:r>
            <w:r>
              <w:rPr>
                <w:rFonts w:cs="Times New Roman"/>
                <w:b w:val="0"/>
                <w:bCs w:val="0"/>
                <w:i w:val="0"/>
                <w:iCs w:val="0"/>
                <w:kern w:val="2"/>
                <w:sz w:val="20"/>
                <w:szCs w:val="20"/>
                <w:lang w:val="en-US"/>
              </w:rPr>
              <w:t>CRI report</w:t>
            </w:r>
          </w:p>
        </w:tc>
        <w:tc>
          <w:tcPr>
            <w:tcW w:w="733"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73.79 %</w:t>
            </w:r>
          </w:p>
        </w:tc>
        <w:tc>
          <w:tcPr>
            <w:tcW w:w="838"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89.90 %</w:t>
            </w:r>
          </w:p>
        </w:tc>
        <w:tc>
          <w:tcPr>
            <w:tcW w:w="805"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0.511</w:t>
            </w:r>
          </w:p>
        </w:tc>
        <w:tc>
          <w:tcPr>
            <w:tcW w:w="536"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59</w:t>
            </w:r>
          </w:p>
        </w:tc>
        <w:tc>
          <w:tcPr>
            <w:tcW w:w="651"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hint="eastAsia" w:cs="Times New Roman"/>
                <w:b w:val="0"/>
                <w:bCs w:val="0"/>
                <w:i w:val="0"/>
                <w:iCs w:val="0"/>
                <w:kern w:val="2"/>
                <w:sz w:val="20"/>
                <w:szCs w:val="20"/>
                <w:lang w:val="en-US"/>
              </w:rPr>
              <w:t>-68.5%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pct"/>
            <w:vMerge w:val="continue"/>
            <w:vAlign w:val="center"/>
          </w:tcPr>
          <w:p>
            <w:pPr>
              <w:pStyle w:val="35"/>
              <w:numPr>
                <w:ilvl w:val="0"/>
                <w:numId w:val="0"/>
              </w:numPr>
              <w:snapToGrid w:val="0"/>
              <w:spacing w:before="72" w:after="72"/>
              <w:rPr>
                <w:rFonts w:cs="Times New Roman"/>
                <w:b w:val="0"/>
                <w:bCs w:val="0"/>
                <w:i w:val="0"/>
                <w:iCs w:val="0"/>
                <w:kern w:val="2"/>
                <w:sz w:val="20"/>
                <w:szCs w:val="20"/>
                <w:lang w:val="en-US"/>
              </w:rPr>
            </w:pPr>
          </w:p>
        </w:tc>
        <w:tc>
          <w:tcPr>
            <w:tcW w:w="594" w:type="pct"/>
          </w:tcPr>
          <w:p>
            <w:pPr>
              <w:pStyle w:val="3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B|=8 with</w:t>
            </w:r>
            <w:r>
              <w:rPr>
                <w:rFonts w:hint="eastAsia" w:cs="Times New Roman"/>
                <w:b w:val="0"/>
                <w:bCs w:val="0"/>
                <w:i w:val="0"/>
                <w:iCs w:val="0"/>
                <w:kern w:val="2"/>
                <w:sz w:val="20"/>
                <w:szCs w:val="20"/>
                <w:lang w:val="en-US"/>
              </w:rPr>
              <w:t xml:space="preserve"> one</w:t>
            </w:r>
            <w:r>
              <w:rPr>
                <w:rFonts w:cs="Times New Roman"/>
                <w:b w:val="0"/>
                <w:bCs w:val="0"/>
                <w:i w:val="0"/>
                <w:iCs w:val="0"/>
                <w:kern w:val="2"/>
                <w:sz w:val="20"/>
                <w:szCs w:val="20"/>
                <w:lang w:val="en-US"/>
              </w:rPr>
              <w:t xml:space="preserve"> CRI report</w:t>
            </w:r>
          </w:p>
        </w:tc>
        <w:tc>
          <w:tcPr>
            <w:tcW w:w="2376" w:type="pct"/>
            <w:gridSpan w:val="3"/>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w:t>
            </w:r>
          </w:p>
        </w:tc>
        <w:tc>
          <w:tcPr>
            <w:tcW w:w="536"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38</w:t>
            </w:r>
          </w:p>
        </w:tc>
        <w:tc>
          <w:tcPr>
            <w:tcW w:w="651"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hint="eastAsia" w:cs="Times New Roman"/>
                <w:b w:val="0"/>
                <w:bCs w:val="0"/>
                <w:i w:val="0"/>
                <w:iCs w:val="0"/>
                <w:kern w:val="2"/>
                <w:sz w:val="20"/>
                <w:szCs w:val="20"/>
                <w:lang w:val="en-US"/>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pct"/>
            <w:vMerge w:val="continue"/>
            <w:vAlign w:val="center"/>
          </w:tcPr>
          <w:p>
            <w:pPr>
              <w:pStyle w:val="35"/>
              <w:numPr>
                <w:ilvl w:val="0"/>
                <w:numId w:val="0"/>
              </w:numPr>
              <w:snapToGrid w:val="0"/>
              <w:spacing w:before="72" w:after="72"/>
              <w:rPr>
                <w:rFonts w:cs="Times New Roman"/>
                <w:b w:val="0"/>
                <w:bCs w:val="0"/>
                <w:i w:val="0"/>
                <w:iCs w:val="0"/>
                <w:kern w:val="2"/>
                <w:sz w:val="20"/>
                <w:szCs w:val="20"/>
              </w:rPr>
            </w:pPr>
          </w:p>
        </w:tc>
        <w:tc>
          <w:tcPr>
            <w:tcW w:w="594" w:type="pct"/>
          </w:tcPr>
          <w:p>
            <w:pPr>
              <w:pStyle w:val="3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B|=16 with</w:t>
            </w:r>
            <w:r>
              <w:rPr>
                <w:rFonts w:hint="eastAsia" w:cs="Times New Roman"/>
                <w:b w:val="0"/>
                <w:bCs w:val="0"/>
                <w:i w:val="0"/>
                <w:iCs w:val="0"/>
                <w:kern w:val="2"/>
                <w:sz w:val="20"/>
                <w:szCs w:val="20"/>
                <w:lang w:val="en-US"/>
              </w:rPr>
              <w:t xml:space="preserve"> all</w:t>
            </w:r>
            <w:r>
              <w:rPr>
                <w:rFonts w:cs="Times New Roman"/>
                <w:b w:val="0"/>
                <w:bCs w:val="0"/>
                <w:i w:val="0"/>
                <w:iCs w:val="0"/>
                <w:kern w:val="2"/>
                <w:sz w:val="20"/>
                <w:szCs w:val="20"/>
                <w:lang w:val="en-US"/>
              </w:rPr>
              <w:t xml:space="preserve"> CRI report</w:t>
            </w:r>
          </w:p>
        </w:tc>
        <w:tc>
          <w:tcPr>
            <w:tcW w:w="733"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91.52 %</w:t>
            </w:r>
          </w:p>
        </w:tc>
        <w:tc>
          <w:tcPr>
            <w:tcW w:w="838"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99.18 %</w:t>
            </w:r>
          </w:p>
        </w:tc>
        <w:tc>
          <w:tcPr>
            <w:tcW w:w="805"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0.044</w:t>
            </w:r>
          </w:p>
        </w:tc>
        <w:tc>
          <w:tcPr>
            <w:tcW w:w="536"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131</w:t>
            </w:r>
          </w:p>
        </w:tc>
        <w:tc>
          <w:tcPr>
            <w:tcW w:w="651"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hint="eastAsia" w:cs="Times New Roman"/>
                <w:b w:val="0"/>
                <w:bCs w:val="0"/>
                <w:i w:val="0"/>
                <w:iCs w:val="0"/>
                <w:kern w:val="2"/>
                <w:sz w:val="20"/>
                <w:szCs w:val="20"/>
                <w:lang w:val="en-US"/>
              </w:rPr>
              <w:t>-274.3%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pct"/>
            <w:vMerge w:val="continue"/>
            <w:vAlign w:val="center"/>
          </w:tcPr>
          <w:p>
            <w:pPr>
              <w:pStyle w:val="35"/>
              <w:numPr>
                <w:ilvl w:val="0"/>
                <w:numId w:val="0"/>
              </w:numPr>
              <w:snapToGrid w:val="0"/>
              <w:spacing w:before="72" w:after="72"/>
              <w:rPr>
                <w:rFonts w:cs="Times New Roman"/>
                <w:b w:val="0"/>
                <w:bCs w:val="0"/>
                <w:i w:val="0"/>
                <w:iCs w:val="0"/>
                <w:kern w:val="2"/>
                <w:sz w:val="20"/>
                <w:szCs w:val="20"/>
              </w:rPr>
            </w:pPr>
          </w:p>
        </w:tc>
        <w:tc>
          <w:tcPr>
            <w:tcW w:w="594" w:type="pct"/>
          </w:tcPr>
          <w:p>
            <w:pPr>
              <w:pStyle w:val="3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B|=16 with</w:t>
            </w:r>
            <w:r>
              <w:rPr>
                <w:rFonts w:hint="eastAsia" w:cs="Times New Roman"/>
                <w:b w:val="0"/>
                <w:bCs w:val="0"/>
                <w:i w:val="0"/>
                <w:iCs w:val="0"/>
                <w:kern w:val="2"/>
                <w:sz w:val="20"/>
                <w:szCs w:val="20"/>
                <w:lang w:val="en-US"/>
              </w:rPr>
              <w:t xml:space="preserve"> one</w:t>
            </w:r>
            <w:r>
              <w:rPr>
                <w:rFonts w:cs="Times New Roman"/>
                <w:b w:val="0"/>
                <w:bCs w:val="0"/>
                <w:i w:val="0"/>
                <w:iCs w:val="0"/>
                <w:kern w:val="2"/>
                <w:sz w:val="20"/>
                <w:szCs w:val="20"/>
                <w:lang w:val="en-US"/>
              </w:rPr>
              <w:t xml:space="preserve"> CRI report</w:t>
            </w:r>
          </w:p>
        </w:tc>
        <w:tc>
          <w:tcPr>
            <w:tcW w:w="2376" w:type="pct"/>
            <w:gridSpan w:val="3"/>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kern w:val="2"/>
                <w:sz w:val="20"/>
                <w:szCs w:val="20"/>
                <w:lang w:val="en-US"/>
              </w:rPr>
              <w:t>/</w:t>
            </w:r>
          </w:p>
        </w:tc>
        <w:tc>
          <w:tcPr>
            <w:tcW w:w="536"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71</w:t>
            </w:r>
          </w:p>
        </w:tc>
        <w:tc>
          <w:tcPr>
            <w:tcW w:w="651"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hint="eastAsia" w:cs="Times New Roman"/>
                <w:b w:val="0"/>
                <w:bCs w:val="0"/>
                <w:i w:val="0"/>
                <w:iCs w:val="0"/>
                <w:kern w:val="2"/>
                <w:sz w:val="20"/>
                <w:szCs w:val="20"/>
                <w:lang w:val="en-US"/>
              </w:rPr>
              <w:t>-102.9%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1" w:type="pct"/>
            <w:vMerge w:val="restart"/>
            <w:vAlign w:val="center"/>
          </w:tcPr>
          <w:p>
            <w:pPr>
              <w:pStyle w:val="35"/>
              <w:numPr>
                <w:ilvl w:val="0"/>
                <w:numId w:val="0"/>
              </w:numPr>
              <w:snapToGrid w:val="0"/>
              <w:spacing w:before="72" w:after="72"/>
              <w:rPr>
                <w:rFonts w:cs="Times New Roman"/>
                <w:b w:val="0"/>
                <w:bCs w:val="0"/>
                <w:i w:val="0"/>
                <w:iCs w:val="0"/>
                <w:kern w:val="2"/>
                <w:sz w:val="20"/>
                <w:szCs w:val="20"/>
                <w:lang w:val="en-US"/>
              </w:rPr>
            </w:pPr>
            <w:r>
              <w:rPr>
                <w:rFonts w:hint="eastAsia" w:cs="Times New Roman"/>
                <w:b w:val="0"/>
                <w:bCs w:val="0"/>
                <w:i w:val="0"/>
                <w:iCs w:val="0"/>
                <w:kern w:val="2"/>
                <w:sz w:val="20"/>
                <w:szCs w:val="20"/>
                <w:lang w:val="en-US"/>
              </w:rPr>
              <w:t xml:space="preserve">Case 1-4-2: </w:t>
            </w:r>
            <w:r>
              <w:rPr>
                <w:rFonts w:cs="Times New Roman"/>
                <w:b w:val="0"/>
                <w:bCs w:val="0"/>
                <w:i w:val="0"/>
                <w:iCs w:val="0"/>
                <w:kern w:val="2"/>
                <w:sz w:val="20"/>
                <w:szCs w:val="20"/>
                <w:lang w:val="en-US"/>
              </w:rPr>
              <w:t>AI method when Set B is a subset of Set C (|Set C|=16)</w:t>
            </w:r>
          </w:p>
        </w:tc>
        <w:tc>
          <w:tcPr>
            <w:tcW w:w="594" w:type="pct"/>
          </w:tcPr>
          <w:p>
            <w:pPr>
              <w:pStyle w:val="3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 = Top-4 of Set C</w:t>
            </w:r>
          </w:p>
        </w:tc>
        <w:tc>
          <w:tcPr>
            <w:tcW w:w="733"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83.18 %</w:t>
            </w:r>
          </w:p>
        </w:tc>
        <w:tc>
          <w:tcPr>
            <w:tcW w:w="838"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kern w:val="2"/>
                <w:sz w:val="20"/>
                <w:szCs w:val="20"/>
              </w:rPr>
              <w:t>96.15 %</w:t>
            </w:r>
          </w:p>
        </w:tc>
        <w:tc>
          <w:tcPr>
            <w:tcW w:w="805"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kern w:val="2"/>
                <w:sz w:val="20"/>
                <w:szCs w:val="20"/>
              </w:rPr>
              <w:t>0.157</w:t>
            </w:r>
          </w:p>
        </w:tc>
        <w:tc>
          <w:tcPr>
            <w:tcW w:w="536"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35</w:t>
            </w:r>
          </w:p>
        </w:tc>
        <w:tc>
          <w:tcPr>
            <w:tcW w:w="651"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hint="eastAsia" w:cs="Times New Roman"/>
                <w:b w:val="0"/>
                <w:bCs w:val="0"/>
                <w:i w:val="0"/>
                <w:iCs w:val="0"/>
                <w:kern w:val="2"/>
                <w:sz w:val="20"/>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1" w:type="pct"/>
            <w:vMerge w:val="continue"/>
          </w:tcPr>
          <w:p>
            <w:pPr>
              <w:pStyle w:val="35"/>
              <w:numPr>
                <w:ilvl w:val="0"/>
                <w:numId w:val="0"/>
              </w:numPr>
              <w:snapToGrid w:val="0"/>
              <w:spacing w:before="72" w:after="72"/>
              <w:rPr>
                <w:rFonts w:cs="Times New Roman"/>
                <w:b w:val="0"/>
                <w:bCs w:val="0"/>
                <w:i w:val="0"/>
                <w:iCs w:val="0"/>
                <w:kern w:val="2"/>
                <w:sz w:val="20"/>
                <w:szCs w:val="20"/>
                <w:lang w:val="en-US"/>
              </w:rPr>
            </w:pPr>
          </w:p>
        </w:tc>
        <w:tc>
          <w:tcPr>
            <w:tcW w:w="594" w:type="pct"/>
          </w:tcPr>
          <w:p>
            <w:pPr>
              <w:pStyle w:val="35"/>
              <w:numPr>
                <w:ilvl w:val="0"/>
                <w:numId w:val="0"/>
              </w:numPr>
              <w:snapToGrid w:val="0"/>
              <w:spacing w:before="72" w:after="72"/>
              <w:jc w:val="both"/>
              <w:rPr>
                <w:rFonts w:cs="Times New Roman"/>
                <w:b w:val="0"/>
                <w:bCs w:val="0"/>
                <w:i w:val="0"/>
                <w:iCs w:val="0"/>
                <w:kern w:val="2"/>
                <w:sz w:val="20"/>
                <w:szCs w:val="20"/>
                <w:lang w:val="en-US"/>
              </w:rPr>
            </w:pPr>
            <w:r>
              <w:rPr>
                <w:rFonts w:cs="Times New Roman"/>
                <w:b w:val="0"/>
                <w:bCs w:val="0"/>
                <w:i w:val="0"/>
                <w:iCs w:val="0"/>
                <w:kern w:val="2"/>
                <w:sz w:val="20"/>
                <w:szCs w:val="20"/>
                <w:lang w:val="en-US"/>
              </w:rPr>
              <w:t>Set B = Top-8 of Set C</w:t>
            </w:r>
          </w:p>
        </w:tc>
        <w:tc>
          <w:tcPr>
            <w:tcW w:w="733"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90.61 %</w:t>
            </w:r>
          </w:p>
        </w:tc>
        <w:tc>
          <w:tcPr>
            <w:tcW w:w="838"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98.48 %</w:t>
            </w:r>
          </w:p>
        </w:tc>
        <w:tc>
          <w:tcPr>
            <w:tcW w:w="805" w:type="pct"/>
            <w:vAlign w:val="center"/>
          </w:tcPr>
          <w:p>
            <w:pPr>
              <w:pStyle w:val="35"/>
              <w:numPr>
                <w:ilvl w:val="0"/>
                <w:numId w:val="0"/>
              </w:numPr>
              <w:snapToGrid w:val="0"/>
              <w:spacing w:before="72" w:after="72"/>
              <w:jc w:val="center"/>
              <w:rPr>
                <w:rFonts w:cs="Times New Roman"/>
                <w:b w:val="0"/>
                <w:bCs w:val="0"/>
                <w:i w:val="0"/>
                <w:iCs w:val="0"/>
                <w:kern w:val="2"/>
                <w:sz w:val="20"/>
                <w:szCs w:val="20"/>
              </w:rPr>
            </w:pPr>
            <w:r>
              <w:rPr>
                <w:rFonts w:cs="Times New Roman"/>
                <w:b w:val="0"/>
                <w:bCs w:val="0"/>
                <w:i w:val="0"/>
                <w:iCs w:val="0"/>
                <w:sz w:val="20"/>
                <w:szCs w:val="20"/>
              </w:rPr>
              <w:t>0.072</w:t>
            </w:r>
          </w:p>
        </w:tc>
        <w:tc>
          <w:tcPr>
            <w:tcW w:w="536"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cs="Times New Roman"/>
                <w:b w:val="0"/>
                <w:bCs w:val="0"/>
                <w:i w:val="0"/>
                <w:iCs w:val="0"/>
                <w:kern w:val="2"/>
                <w:sz w:val="20"/>
                <w:szCs w:val="20"/>
                <w:lang w:val="en-US"/>
              </w:rPr>
              <w:t>67</w:t>
            </w:r>
          </w:p>
        </w:tc>
        <w:tc>
          <w:tcPr>
            <w:tcW w:w="651" w:type="pct"/>
            <w:vAlign w:val="center"/>
          </w:tcPr>
          <w:p>
            <w:pPr>
              <w:pStyle w:val="35"/>
              <w:numPr>
                <w:ilvl w:val="0"/>
                <w:numId w:val="0"/>
              </w:numPr>
              <w:snapToGrid w:val="0"/>
              <w:spacing w:before="72" w:after="72"/>
              <w:jc w:val="center"/>
              <w:rPr>
                <w:rFonts w:cs="Times New Roman"/>
                <w:b w:val="0"/>
                <w:bCs w:val="0"/>
                <w:i w:val="0"/>
                <w:iCs w:val="0"/>
                <w:kern w:val="2"/>
                <w:sz w:val="20"/>
                <w:szCs w:val="20"/>
                <w:lang w:val="en-US"/>
              </w:rPr>
            </w:pPr>
            <w:r>
              <w:rPr>
                <w:rFonts w:hint="eastAsia" w:cs="Times New Roman"/>
                <w:b w:val="0"/>
                <w:bCs w:val="0"/>
                <w:i w:val="0"/>
                <w:iCs w:val="0"/>
                <w:kern w:val="2"/>
                <w:sz w:val="20"/>
                <w:szCs w:val="20"/>
                <w:lang w:val="en-US"/>
              </w:rPr>
              <w:t>-91.4%</w:t>
            </w:r>
          </w:p>
        </w:tc>
      </w:tr>
    </w:tbl>
    <w:p>
      <w:pPr>
        <w:pStyle w:val="117"/>
        <w:spacing w:before="72" w:after="72"/>
        <w:jc w:val="both"/>
        <w:rPr>
          <w:kern w:val="2"/>
          <w:sz w:val="20"/>
          <w:szCs w:val="20"/>
          <w:lang w:val="en-US" w:eastAsia="zh-CN"/>
        </w:rPr>
      </w:pPr>
      <w:r>
        <w:rPr>
          <w:rFonts w:hint="eastAsia"/>
          <w:kern w:val="2"/>
          <w:sz w:val="20"/>
          <w:szCs w:val="20"/>
          <w:lang w:val="en-US" w:eastAsia="zh-CN"/>
        </w:rPr>
        <w:t xml:space="preserve">Reporting Top-K (K=4 or 8) beams with larger RSRPs from all beams in the measured beam set achieves </w:t>
      </w:r>
      <w:r>
        <w:rPr>
          <w:kern w:val="2"/>
          <w:sz w:val="20"/>
          <w:szCs w:val="20"/>
          <w:lang w:val="en-US" w:eastAsia="zh-CN"/>
        </w:rPr>
        <w:t>a good</w:t>
      </w:r>
      <w:r>
        <w:rPr>
          <w:rFonts w:hint="eastAsia"/>
          <w:kern w:val="2"/>
          <w:sz w:val="20"/>
          <w:szCs w:val="20"/>
          <w:lang w:val="en-US" w:eastAsia="zh-CN"/>
        </w:rPr>
        <w:t xml:space="preserve"> trade-off between beam prediction accuracy and UCI payload overhead.</w:t>
      </w:r>
    </w:p>
    <w:p>
      <w:pPr>
        <w:pStyle w:val="117"/>
        <w:spacing w:before="72" w:after="72"/>
        <w:jc w:val="both"/>
        <w:rPr>
          <w:sz w:val="20"/>
          <w:szCs w:val="20"/>
        </w:rPr>
      </w:pPr>
      <w:r>
        <w:rPr>
          <w:rFonts w:hint="eastAsia"/>
          <w:kern w:val="2"/>
          <w:sz w:val="20"/>
          <w:szCs w:val="20"/>
          <w:lang w:val="en-US" w:eastAsia="zh-CN"/>
        </w:rPr>
        <w:t>If Set B equals to the measured beam set (i.e., Set C), the t</w:t>
      </w:r>
      <w:r>
        <w:rPr>
          <w:kern w:val="2"/>
          <w:sz w:val="20"/>
          <w:szCs w:val="20"/>
        </w:rPr>
        <w:t>otal UCI payload size</w:t>
      </w:r>
      <w:r>
        <w:rPr>
          <w:rFonts w:hint="eastAsia"/>
          <w:kern w:val="2"/>
          <w:sz w:val="20"/>
          <w:szCs w:val="20"/>
          <w:lang w:val="en-US" w:eastAsia="zh-CN"/>
        </w:rPr>
        <w:t xml:space="preserve"> can be greatly reduced by reporting all measured RSRPs in Set B and the beam index associated with the largest RSRP.</w:t>
      </w:r>
    </w:p>
    <w:p>
      <w:pPr>
        <w:pStyle w:val="35"/>
        <w:numPr>
          <w:ilvl w:val="0"/>
          <w:numId w:val="0"/>
        </w:numPr>
        <w:spacing w:before="72" w:after="72"/>
        <w:jc w:val="both"/>
        <w:rPr>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 xml:space="preserve">Evaluation for </w:t>
      </w:r>
      <w:r>
        <w:rPr>
          <w:rFonts w:hint="eastAsia" w:eastAsia="Arial Unicode MS"/>
          <w:b w:val="0"/>
          <w:bCs w:val="0"/>
          <w:kern w:val="2"/>
          <w:sz w:val="28"/>
          <w:szCs w:val="28"/>
          <w:lang w:val="en-US" w:eastAsia="zh-CN"/>
        </w:rPr>
        <w:t xml:space="preserve">AI/ML model </w:t>
      </w:r>
      <w:r>
        <w:rPr>
          <w:rFonts w:hint="eastAsia" w:eastAsia="Arial Unicode MS"/>
          <w:b w:val="0"/>
          <w:bCs w:val="0"/>
          <w:kern w:val="2"/>
          <w:sz w:val="28"/>
          <w:szCs w:val="28"/>
          <w:lang w:val="en-US"/>
        </w:rPr>
        <w:t>generalization</w:t>
      </w:r>
    </w:p>
    <w:p>
      <w:pPr>
        <w:snapToGrid w:val="0"/>
        <w:spacing w:before="72" w:beforeLines="30" w:after="72" w:afterLines="30" w:line="288" w:lineRule="auto"/>
        <w:jc w:val="both"/>
        <w:rPr>
          <w:rFonts w:eastAsia="Times New Roman"/>
          <w:sz w:val="20"/>
          <w:szCs w:val="20"/>
        </w:rPr>
      </w:pPr>
      <w:bookmarkStart w:id="5" w:name="OLE_LINK17"/>
      <w:r>
        <w:rPr>
          <w:rFonts w:hint="eastAsia" w:eastAsia="Times New Roman"/>
          <w:sz w:val="20"/>
          <w:szCs w:val="20"/>
        </w:rPr>
        <w:t>In RAN1#11</w:t>
      </w:r>
      <w:r>
        <w:rPr>
          <w:rFonts w:hint="eastAsia"/>
          <w:sz w:val="20"/>
          <w:szCs w:val="20"/>
        </w:rPr>
        <w:t>2</w:t>
      </w:r>
      <w:r>
        <w:rPr>
          <w:rFonts w:hint="eastAsia" w:eastAsia="Times New Roman"/>
          <w:sz w:val="20"/>
          <w:szCs w:val="20"/>
        </w:rPr>
        <w:t>, t</w:t>
      </w:r>
      <w:r>
        <w:rPr>
          <w:rFonts w:eastAsia="Times New Roman"/>
          <w:sz w:val="20"/>
          <w:szCs w:val="20"/>
        </w:rPr>
        <w:t xml:space="preserve">he following working assumption about generalization evaluation </w:t>
      </w:r>
      <w:r>
        <w:rPr>
          <w:rFonts w:hint="eastAsia" w:eastAsia="Times New Roman"/>
          <w:sz w:val="20"/>
          <w:szCs w:val="20"/>
        </w:rPr>
        <w:t xml:space="preserve">was </w:t>
      </w:r>
      <w:r>
        <w:rPr>
          <w:rFonts w:eastAsia="Times New Roman"/>
          <w:sz w:val="20"/>
          <w:szCs w:val="20"/>
        </w:rPr>
        <w:t>confirmed with fine tuning being optiona</w:t>
      </w:r>
      <w:r>
        <w:rPr>
          <w:rFonts w:hint="eastAsia" w:eastAsia="Times New Roman"/>
          <w:sz w:val="20"/>
          <w:szCs w:val="20"/>
        </w:rPr>
        <w:t>l</w:t>
      </w:r>
      <w:r>
        <w:rPr>
          <w:rFonts w:eastAsia="Times New Roman"/>
          <w:sz w:val="20"/>
          <w:szCs w:val="20"/>
        </w:rPr>
        <w:t>l</w:t>
      </w:r>
      <w:r>
        <w:rPr>
          <w:rFonts w:hint="eastAsia" w:eastAsia="Times New Roman"/>
          <w:sz w:val="20"/>
          <w:szCs w:val="20"/>
        </w:rPr>
        <w:t>y</w:t>
      </w:r>
      <w:r>
        <w:rPr>
          <w:rFonts w:eastAsia="Times New Roman"/>
          <w:sz w:val="20"/>
          <w:szCs w:val="20"/>
        </w:rPr>
        <w:t xml:space="preserve"> considered.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bCs/>
                <w:sz w:val="20"/>
                <w:szCs w:val="20"/>
                <w:u w:val="single"/>
              </w:rPr>
            </w:pPr>
            <w:r>
              <w:rPr>
                <w:b/>
                <w:bCs/>
                <w:sz w:val="20"/>
                <w:szCs w:val="20"/>
                <w:u w:val="single"/>
              </w:rPr>
              <w:t>Agreement:</w:t>
            </w:r>
          </w:p>
          <w:p>
            <w:pPr>
              <w:widowControl w:val="0"/>
              <w:snapToGrid w:val="0"/>
              <w:spacing w:before="72" w:beforeLines="30" w:after="72" w:afterLines="30" w:line="288" w:lineRule="auto"/>
              <w:rPr>
                <w:sz w:val="20"/>
                <w:szCs w:val="20"/>
              </w:rPr>
            </w:pPr>
            <w:r>
              <w:rPr>
                <w:sz w:val="20"/>
                <w:szCs w:val="20"/>
              </w:rPr>
              <w:t>The following cases are considered for verifying the generalization performance of an AI/ML model over various scenarios/configurations as a starting point:</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Case 1: The AI/ML model is trained based on training dataset from one Scenario#A/Configuration#A, and then the AI/ML model performs inference/test on a dataset from the same Scenario#A/Configuration#A</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Case 2: The AI/ML model is trained based on training dataset from one Scenario#A/Configuration#A, and then the AI/ML model performs inference/test on a different dataset than Scenario#A/Configuration#A, e.g., Scenario#B/Configuration#B, Scenario#A/Configuration#B</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Note: Companies to report the ratio for dataset mixing</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Note: number of the multiple scenarios/configurations can be larger than two</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FFS the detailed set of scenarios/configurations</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The following case for generalization verification, can be optionally considered by companies: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Company to report the fine-tuning dataset setting (e.g., size of dataset) and the improvement of performance</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Times New Roman"/>
                <w:sz w:val="20"/>
                <w:szCs w:val="20"/>
              </w:rPr>
            </w:pPr>
            <w:r>
              <w:rPr>
                <w:sz w:val="20"/>
                <w:szCs w:val="20"/>
              </w:rPr>
              <w:t>FFS: Investigate of the feasibility the fine-tuning on the UE/Network side</w:t>
            </w:r>
          </w:p>
        </w:tc>
      </w:tr>
    </w:tbl>
    <w:p>
      <w:pPr>
        <w:snapToGrid w:val="0"/>
        <w:spacing w:before="72" w:beforeLines="30" w:after="72" w:afterLines="30" w:line="288" w:lineRule="auto"/>
        <w:jc w:val="both"/>
        <w:rPr>
          <w:rFonts w:eastAsia="Times New Roman"/>
          <w:sz w:val="20"/>
          <w:szCs w:val="20"/>
        </w:rPr>
      </w:pPr>
      <w:r>
        <w:rPr>
          <w:rFonts w:eastAsia="Times New Roman"/>
          <w:sz w:val="20"/>
          <w:szCs w:val="20"/>
        </w:rPr>
        <w:t xml:space="preserve">Besides, a detailed agreement </w:t>
      </w:r>
      <w:r>
        <w:rPr>
          <w:rFonts w:hint="eastAsia" w:eastAsia="Times New Roman"/>
          <w:sz w:val="20"/>
          <w:szCs w:val="20"/>
        </w:rPr>
        <w:t xml:space="preserve">was reached </w:t>
      </w:r>
      <w:r>
        <w:rPr>
          <w:rFonts w:eastAsia="Times New Roman"/>
          <w:sz w:val="20"/>
          <w:szCs w:val="20"/>
        </w:rPr>
        <w:t>with more examples being provided for generalization performance verification.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bCs/>
                <w:sz w:val="20"/>
                <w:szCs w:val="20"/>
                <w:u w:val="single"/>
              </w:rPr>
            </w:pPr>
            <w:r>
              <w:rPr>
                <w:b/>
                <w:bCs/>
                <w:sz w:val="20"/>
                <w:szCs w:val="20"/>
                <w:u w:val="single"/>
                <w:lang w:eastAsia="ko-KR"/>
              </w:rPr>
              <w:t>Agreement</w:t>
            </w:r>
            <w:r>
              <w:rPr>
                <w:rFonts w:hint="eastAsia"/>
                <w:b/>
                <w:bCs/>
                <w:sz w:val="20"/>
                <w:szCs w:val="20"/>
                <w:u w:val="single"/>
              </w:rPr>
              <w:t>:</w:t>
            </w:r>
          </w:p>
          <w:p>
            <w:pPr>
              <w:widowControl w:val="0"/>
              <w:snapToGrid w:val="0"/>
              <w:spacing w:before="72" w:beforeLines="30" w:after="72" w:afterLines="30" w:line="288" w:lineRule="auto"/>
              <w:contextualSpacing/>
              <w:jc w:val="both"/>
              <w:rPr>
                <w:sz w:val="20"/>
                <w:szCs w:val="20"/>
                <w:lang w:eastAsia="ko-KR"/>
              </w:rPr>
            </w:pPr>
            <w:r>
              <w:rPr>
                <w:sz w:val="20"/>
                <w:szCs w:val="20"/>
                <w:lang w:eastAsia="ko-KR"/>
              </w:rPr>
              <w:t>For generalization performance verification, consider the following</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Scenarios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Various deployment scenarios,</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e.g., UMa, UMi and others,</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e.g., 200m ISD or 500m ISD and others</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hint="eastAsia" w:eastAsia="Batang"/>
                <w:sz w:val="20"/>
                <w:szCs w:val="20"/>
                <w:lang w:val="en-GB" w:eastAsia="ko-KR"/>
              </w:rPr>
              <w:t>e</w:t>
            </w:r>
            <w:r>
              <w:rPr>
                <w:rFonts w:eastAsia="Batang"/>
                <w:sz w:val="20"/>
                <w:szCs w:val="20"/>
                <w:lang w:val="en-GB" w:eastAsia="ko-KR"/>
              </w:rPr>
              <w:t>.g., same deployment, different cells with different configuration/assumption</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hint="eastAsia" w:eastAsia="Batang"/>
                <w:sz w:val="20"/>
                <w:szCs w:val="20"/>
                <w:lang w:val="en-GB" w:eastAsia="ko-KR"/>
              </w:rPr>
              <w:t>e</w:t>
            </w:r>
            <w:r>
              <w:rPr>
                <w:rFonts w:eastAsia="Batang"/>
                <w:sz w:val="20"/>
                <w:szCs w:val="20"/>
                <w:lang w:val="en-GB" w:eastAsia="ko-KR"/>
              </w:rPr>
              <w:t>.g., gNB height and UE height</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FFS: e.g., Carrier frequencies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Various outdoor/indoor UE distributions, e.g., 100%/0%, 20%/80%, and others</w:t>
            </w:r>
          </w:p>
          <w:p>
            <w:pPr>
              <w:numPr>
                <w:ilvl w:val="2"/>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 xml:space="preserve">Various UE mobility, </w:t>
            </w:r>
          </w:p>
          <w:p>
            <w:pPr>
              <w:numPr>
                <w:ilvl w:val="3"/>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e.g., 3km/h, 30km/h, 60km/h and others</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Configurations (parameters and settings)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Various UE parameters, e.g., number of UE Rx beams (including number of panels and UE antenna array dimensions)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Various gNB settings, e.g., DL Tx beam codebook (including various Set A of beam(pairs) and gNB antenna array dimensions)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hint="eastAsia" w:eastAsia="Batang"/>
                <w:sz w:val="20"/>
                <w:szCs w:val="20"/>
                <w:lang w:val="en-GB" w:eastAsia="ko-KR"/>
              </w:rPr>
              <w:t>Various Set B of beam (pairs)</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ko-KR"/>
              </w:rPr>
            </w:pPr>
            <w:r>
              <w:rPr>
                <w:rFonts w:eastAsia="Batang"/>
                <w:sz w:val="20"/>
                <w:szCs w:val="20"/>
                <w:lang w:val="en-GB" w:eastAsia="ko-KR"/>
              </w:rPr>
              <w:t>T1 for measurement /T2 for prediction for BM-Case2</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Times New Roman"/>
                <w:sz w:val="20"/>
                <w:szCs w:val="20"/>
              </w:rPr>
            </w:pPr>
            <w:r>
              <w:rPr>
                <w:rFonts w:eastAsia="Batang"/>
                <w:sz w:val="20"/>
                <w:szCs w:val="20"/>
                <w:lang w:val="en-GB" w:eastAsia="ko-KR"/>
              </w:rPr>
              <w:t>Other scenarios/configurations (parameters and settings) are not precluded and can be reported by companies.</w:t>
            </w:r>
          </w:p>
        </w:tc>
      </w:tr>
    </w:tbl>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In this section, to evaluate the </w:t>
      </w:r>
      <w:bookmarkStart w:id="6" w:name="OLE_LINK19"/>
      <w:r>
        <w:rPr>
          <w:rFonts w:hint="eastAsia"/>
          <w:sz w:val="20"/>
          <w:szCs w:val="20"/>
          <w:lang w:eastAsia="zh-CN"/>
        </w:rPr>
        <w:t xml:space="preserve">AI/ML model </w:t>
      </w:r>
      <w:r>
        <w:rPr>
          <w:rFonts w:hint="eastAsia" w:eastAsia="Times New Roman"/>
          <w:sz w:val="20"/>
          <w:szCs w:val="20"/>
        </w:rPr>
        <w:t>generalization capability</w:t>
      </w:r>
      <w:bookmarkEnd w:id="6"/>
      <w:r>
        <w:rPr>
          <w:rFonts w:hint="eastAsia" w:eastAsia="Times New Roman"/>
          <w:sz w:val="20"/>
          <w:szCs w:val="20"/>
        </w:rPr>
        <w:t>, different number of beams in Set B, different Set B patterns, different Rx beam assumptions, different gNB settings</w:t>
      </w:r>
      <w:r>
        <w:rPr>
          <w:rFonts w:hint="eastAsia"/>
          <w:sz w:val="20"/>
          <w:szCs w:val="20"/>
          <w:lang w:val="en-US" w:eastAsia="zh-CN"/>
        </w:rPr>
        <w:t xml:space="preserve">, </w:t>
      </w:r>
      <w:r>
        <w:rPr>
          <w:rFonts w:hint="eastAsia" w:eastAsia="Times New Roman"/>
          <w:sz w:val="20"/>
          <w:szCs w:val="20"/>
        </w:rPr>
        <w:t xml:space="preserve">different number of UE Rx beams </w:t>
      </w:r>
      <w:r>
        <w:rPr>
          <w:rFonts w:hint="eastAsia"/>
          <w:sz w:val="20"/>
          <w:szCs w:val="20"/>
          <w:lang w:val="en-US" w:eastAsia="zh-CN"/>
        </w:rPr>
        <w:t xml:space="preserve">and different UE distributions </w:t>
      </w:r>
      <w:r>
        <w:rPr>
          <w:rFonts w:hint="eastAsia" w:eastAsia="Times New Roman"/>
          <w:sz w:val="20"/>
          <w:szCs w:val="20"/>
        </w:rPr>
        <w:t>are considered as follows.</w:t>
      </w:r>
      <w:bookmarkEnd w:id="5"/>
      <w:r>
        <w:rPr>
          <w:rFonts w:hint="eastAsia" w:eastAsia="Times New Roman"/>
          <w:sz w:val="20"/>
          <w:szCs w:val="20"/>
        </w:rPr>
        <w:t xml:space="preserve"> </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Generalization on different number of beams in Set B</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To evaluate the </w:t>
      </w:r>
      <w:r>
        <w:rPr>
          <w:rFonts w:hint="eastAsia"/>
          <w:sz w:val="20"/>
          <w:szCs w:val="20"/>
          <w:lang w:eastAsia="zh-CN"/>
        </w:rPr>
        <w:t xml:space="preserve">AI/ML model </w:t>
      </w:r>
      <w:r>
        <w:rPr>
          <w:rFonts w:eastAsia="Times New Roman"/>
          <w:sz w:val="20"/>
          <w:szCs w:val="20"/>
          <w:lang w:val="en-GB"/>
        </w:rPr>
        <w:t>generalization capability</w:t>
      </w:r>
      <w:r>
        <w:rPr>
          <w:rFonts w:hint="eastAsia" w:eastAsia="Times New Roman"/>
          <w:sz w:val="20"/>
          <w:szCs w:val="20"/>
        </w:rPr>
        <w:t xml:space="preserve"> on different number of beams in Set B, mixed data samples generated under &lt;T8 R1&gt;, &lt;T16 R1&gt;, and &lt;T32 R1&gt; cases are used as </w:t>
      </w:r>
      <w:r>
        <w:rPr>
          <w:rFonts w:hint="eastAsia"/>
          <w:sz w:val="20"/>
          <w:szCs w:val="20"/>
          <w:lang w:eastAsia="zh-CN"/>
        </w:rPr>
        <w:t xml:space="preserve">AI/ML model </w:t>
      </w:r>
      <w:r>
        <w:rPr>
          <w:rFonts w:hint="eastAsia" w:eastAsia="Times New Roman"/>
          <w:sz w:val="20"/>
          <w:szCs w:val="20"/>
        </w:rPr>
        <w:t xml:space="preserve">inputs to predict quality of all transmit beams. Besides, beam prediction performance of corresponding &lt;T8 R1&gt;, &lt;T16 R1&gt;, and &lt;T32 R1&gt; cases are also provided here for comparison.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1-4-1-1: </w:t>
      </w:r>
      <w:r>
        <w:rPr>
          <w:rFonts w:hint="eastAsia" w:eastAsia="Times New Roman"/>
          <w:sz w:val="20"/>
          <w:szCs w:val="20"/>
        </w:rPr>
        <w:t>Both t</w:t>
      </w:r>
      <w:r>
        <w:rPr>
          <w:rFonts w:hint="eastAsia"/>
          <w:sz w:val="20"/>
          <w:szCs w:val="20"/>
        </w:rPr>
        <w:t>raining and testing with samples of mixed data samples, where the m</w:t>
      </w:r>
      <w:r>
        <w:rPr>
          <w:rFonts w:hint="eastAsia" w:eastAsia="Times New Roman"/>
          <w:sz w:val="20"/>
          <w:szCs w:val="20"/>
        </w:rPr>
        <w:t xml:space="preserve">ixed data samples generated under &lt;T8 R1&gt;, &lt;T16 R1&gt;, and &lt;T32 R1&gt; cases are used as </w:t>
      </w:r>
      <w:r>
        <w:rPr>
          <w:rFonts w:hint="eastAsia"/>
          <w:sz w:val="20"/>
          <w:szCs w:val="20"/>
          <w:lang w:eastAsia="zh-CN"/>
        </w:rPr>
        <w:t xml:space="preserve">AI/ML model </w:t>
      </w:r>
      <w:r>
        <w:rPr>
          <w:rFonts w:hint="eastAsia" w:eastAsia="Times New Roman"/>
          <w:sz w:val="20"/>
          <w:szCs w:val="20"/>
        </w:rPr>
        <w:t>inputs to predict RSRPs of all Tx beams.</w:t>
      </w:r>
      <w:r>
        <w:rPr>
          <w:rFonts w:hint="eastAsia"/>
          <w:sz w:val="20"/>
          <w:szCs w:val="20"/>
        </w:rPr>
        <w:t xml:space="preserve"> The Rx beam is</w:t>
      </w:r>
      <w:r>
        <w:rPr>
          <w:rFonts w:hint="eastAsia" w:eastAsia="Times New Roman"/>
          <w:sz w:val="20"/>
          <w:szCs w:val="20"/>
        </w:rPr>
        <w:t xml:space="preserve"> optimal</w:t>
      </w:r>
      <w:r>
        <w:rPr>
          <w:rFonts w:hint="eastAsia"/>
          <w:sz w:val="20"/>
          <w:szCs w:val="20"/>
        </w:rPr>
        <w:t xml:space="preserve"> (i.e., Rx beam assumption 3)</w:t>
      </w:r>
      <w:r>
        <w:rPr>
          <w:rFonts w:hint="eastAsia" w:eastAsia="Times New Roman"/>
          <w:sz w:val="20"/>
          <w:szCs w:val="20"/>
        </w:rPr>
        <w:t xml:space="preserve"> during the beam measurement procedure as above.</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1-4-1-2: </w:t>
      </w:r>
      <w:r>
        <w:rPr>
          <w:rFonts w:hint="eastAsia"/>
          <w:sz w:val="20"/>
          <w:szCs w:val="20"/>
        </w:rPr>
        <w:t xml:space="preserve">In the </w:t>
      </w:r>
      <w:r>
        <w:rPr>
          <w:rFonts w:hint="eastAsia" w:eastAsia="Times New Roman"/>
          <w:sz w:val="20"/>
          <w:szCs w:val="20"/>
        </w:rPr>
        <w:t xml:space="preserve">&lt;T8 R1&gt; case for </w:t>
      </w:r>
      <w:r>
        <w:rPr>
          <w:rFonts w:eastAsia="Times New Roman"/>
          <w:sz w:val="20"/>
          <w:szCs w:val="20"/>
        </w:rPr>
        <w:t>Tx</w:t>
      </w:r>
      <w:r>
        <w:rPr>
          <w:rFonts w:hint="eastAsia" w:eastAsia="Times New Roman"/>
          <w:sz w:val="20"/>
          <w:szCs w:val="20"/>
        </w:rPr>
        <w:t xml:space="preserve"> </w:t>
      </w:r>
      <w:r>
        <w:rPr>
          <w:rFonts w:eastAsia="Times New Roman"/>
          <w:sz w:val="20"/>
          <w:szCs w:val="20"/>
        </w:rPr>
        <w:t>beam prediction</w:t>
      </w:r>
      <w:r>
        <w:rPr>
          <w:rFonts w:hint="eastAsia" w:eastAsia="Times New Roman"/>
          <w:sz w:val="20"/>
          <w:szCs w:val="20"/>
        </w:rPr>
        <w:t xml:space="preserve">, </w:t>
      </w:r>
      <w:r>
        <w:rPr>
          <w:rFonts w:hint="eastAsia"/>
          <w:sz w:val="20"/>
          <w:szCs w:val="20"/>
        </w:rPr>
        <w:t xml:space="preserve">8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t>
      </w:r>
      <w:r>
        <w:rPr>
          <w:rFonts w:hint="eastAsia" w:eastAsia="Times New Roman"/>
          <w:sz w:val="20"/>
          <w:szCs w:val="20"/>
          <w:lang w:val="en-GB"/>
        </w:rPr>
        <w:t>are transmitted by the gNB</w:t>
      </w:r>
      <w:r>
        <w:rPr>
          <w:rFonts w:hint="eastAsia"/>
          <w:sz w:val="20"/>
          <w:szCs w:val="20"/>
        </w:rPr>
        <w:t xml:space="preserve"> and measured by one Rx beam that </w:t>
      </w:r>
      <w:r>
        <w:rPr>
          <w:rFonts w:hint="eastAsia" w:eastAsia="Times New Roman"/>
          <w:sz w:val="20"/>
          <w:szCs w:val="20"/>
        </w:rPr>
        <w:t>is optimal</w:t>
      </w:r>
      <w:r>
        <w:rPr>
          <w:rFonts w:hint="eastAsia"/>
          <w:sz w:val="20"/>
          <w:szCs w:val="20"/>
        </w:rPr>
        <w:t xml:space="preserve"> (i.e., Rx beam assumption 3)</w:t>
      </w:r>
      <w:r>
        <w:rPr>
          <w:rFonts w:hint="eastAsia" w:eastAsia="Times New Roman"/>
          <w:sz w:val="20"/>
          <w:szCs w:val="20"/>
        </w:rPr>
        <w:t xml:space="preserve"> during the beam measurement procedure. In this case, </w:t>
      </w:r>
      <w:r>
        <w:rPr>
          <w:rFonts w:hint="eastAsia" w:eastAsia="Times New Roman"/>
          <w:sz w:val="20"/>
          <w:szCs w:val="20"/>
          <w:lang w:val="en-GB"/>
        </w:rPr>
        <w:t>RSRPs</w:t>
      </w:r>
      <w:r>
        <w:rPr>
          <w:rFonts w:hint="eastAsia" w:eastAsia="Times New Roman"/>
          <w:sz w:val="20"/>
          <w:szCs w:val="20"/>
        </w:rPr>
        <w:t xml:space="preserve"> of selected Tx beams (8x1=8 beams) are used as </w:t>
      </w:r>
      <w:r>
        <w:rPr>
          <w:rFonts w:hint="eastAsia"/>
          <w:sz w:val="20"/>
          <w:szCs w:val="20"/>
          <w:lang w:eastAsia="zh-CN"/>
        </w:rPr>
        <w:t xml:space="preserve">AI/ML model </w:t>
      </w:r>
      <w:r>
        <w:rPr>
          <w:rFonts w:hint="eastAsia" w:eastAsia="Times New Roman"/>
          <w:sz w:val="20"/>
          <w:szCs w:val="20"/>
        </w:rPr>
        <w:t xml:space="preserve">inputs </w:t>
      </w:r>
      <w:r>
        <w:rPr>
          <w:rFonts w:hint="eastAsia" w:eastAsia="Times New Roman"/>
          <w:sz w:val="20"/>
          <w:szCs w:val="20"/>
          <w:lang w:val="en-GB"/>
        </w:rPr>
        <w:t xml:space="preserve">and predicted RSRPs of all </w:t>
      </w:r>
      <w:r>
        <w:rPr>
          <w:rFonts w:hint="eastAsia"/>
          <w:sz w:val="20"/>
          <w:szCs w:val="20"/>
        </w:rPr>
        <w:t xml:space="preserve">Tx </w:t>
      </w:r>
      <w:r>
        <w:rPr>
          <w:rFonts w:hint="eastAsia" w:eastAsia="Times New Roman"/>
          <w:sz w:val="20"/>
          <w:szCs w:val="20"/>
          <w:lang w:val="en-GB"/>
        </w:rPr>
        <w:t>beams</w:t>
      </w:r>
      <w:r>
        <w:rPr>
          <w:rFonts w:hint="eastAsia" w:eastAsia="Times New Roman"/>
          <w:sz w:val="20"/>
          <w:szCs w:val="20"/>
        </w:rPr>
        <w:t xml:space="preserve"> (64x1=64 beams)</w:t>
      </w:r>
      <w:r>
        <w:rPr>
          <w:rFonts w:hint="eastAsia" w:eastAsia="Times New Roman"/>
          <w:sz w:val="20"/>
          <w:szCs w:val="20"/>
          <w:lang w:val="en-GB"/>
        </w:rPr>
        <w:t xml:space="preserve"> </w:t>
      </w:r>
      <w:r>
        <w:rPr>
          <w:rFonts w:hint="eastAsia" w:eastAsia="Times New Roman"/>
          <w:sz w:val="20"/>
          <w:szCs w:val="20"/>
        </w:rPr>
        <w:t xml:space="preserve">are used as </w:t>
      </w:r>
      <w:r>
        <w:rPr>
          <w:rFonts w:hint="eastAsia"/>
          <w:sz w:val="20"/>
          <w:szCs w:val="20"/>
          <w:lang w:eastAsia="zh-CN"/>
        </w:rPr>
        <w:t xml:space="preserve">AI/ML model </w:t>
      </w:r>
      <w:r>
        <w:rPr>
          <w:rFonts w:hint="eastAsia" w:eastAsia="Times New Roman"/>
          <w:sz w:val="20"/>
          <w:szCs w:val="20"/>
        </w:rPr>
        <w:t>outputs.</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1-4-1-3: </w:t>
      </w:r>
      <w:r>
        <w:rPr>
          <w:rFonts w:hint="eastAsia"/>
          <w:sz w:val="20"/>
          <w:szCs w:val="20"/>
        </w:rPr>
        <w:t xml:space="preserve">In the </w:t>
      </w:r>
      <w:r>
        <w:rPr>
          <w:rFonts w:hint="eastAsia" w:eastAsia="Times New Roman"/>
          <w:sz w:val="20"/>
          <w:szCs w:val="20"/>
        </w:rPr>
        <w:t xml:space="preserve">&lt;T16 R1&gt; case for </w:t>
      </w:r>
      <w:r>
        <w:rPr>
          <w:rFonts w:eastAsia="Times New Roman"/>
          <w:sz w:val="20"/>
          <w:szCs w:val="20"/>
        </w:rPr>
        <w:t>Tx</w:t>
      </w:r>
      <w:r>
        <w:rPr>
          <w:rFonts w:hint="eastAsia" w:eastAsia="Times New Roman"/>
          <w:sz w:val="20"/>
          <w:szCs w:val="20"/>
        </w:rPr>
        <w:t xml:space="preserve"> </w:t>
      </w:r>
      <w:r>
        <w:rPr>
          <w:rFonts w:eastAsia="Times New Roman"/>
          <w:sz w:val="20"/>
          <w:szCs w:val="20"/>
        </w:rPr>
        <w:t>beam prediction</w:t>
      </w:r>
      <w:r>
        <w:rPr>
          <w:rFonts w:hint="eastAsia" w:eastAsia="Times New Roman"/>
          <w:sz w:val="20"/>
          <w:szCs w:val="20"/>
        </w:rPr>
        <w:t xml:space="preserve">, </w:t>
      </w:r>
      <w:r>
        <w:rPr>
          <w:rFonts w:hint="eastAsia"/>
          <w:sz w:val="20"/>
          <w:szCs w:val="20"/>
        </w:rPr>
        <w:t xml:space="preserve">16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t>
      </w:r>
      <w:r>
        <w:rPr>
          <w:rFonts w:hint="eastAsia" w:eastAsia="Times New Roman"/>
          <w:sz w:val="20"/>
          <w:szCs w:val="20"/>
          <w:lang w:val="en-GB"/>
        </w:rPr>
        <w:t>are transmitted by the gNB</w:t>
      </w:r>
      <w:r>
        <w:rPr>
          <w:rFonts w:hint="eastAsia"/>
          <w:sz w:val="20"/>
          <w:szCs w:val="20"/>
        </w:rPr>
        <w:t xml:space="preserve"> and measured by one Rx beam that </w:t>
      </w:r>
      <w:r>
        <w:rPr>
          <w:rFonts w:hint="eastAsia" w:eastAsia="Times New Roman"/>
          <w:sz w:val="20"/>
          <w:szCs w:val="20"/>
        </w:rPr>
        <w:t>is optimal</w:t>
      </w:r>
      <w:r>
        <w:rPr>
          <w:rFonts w:hint="eastAsia"/>
          <w:sz w:val="20"/>
          <w:szCs w:val="20"/>
        </w:rPr>
        <w:t xml:space="preserve"> (i.e., Rx beam assumption 3)</w:t>
      </w:r>
      <w:r>
        <w:rPr>
          <w:rFonts w:hint="eastAsia" w:eastAsia="Times New Roman"/>
          <w:sz w:val="20"/>
          <w:szCs w:val="20"/>
        </w:rPr>
        <w:t xml:space="preserve"> during the beam measurement procedure. In this case, </w:t>
      </w:r>
      <w:r>
        <w:rPr>
          <w:rFonts w:hint="eastAsia" w:eastAsia="Times New Roman"/>
          <w:sz w:val="20"/>
          <w:szCs w:val="20"/>
          <w:lang w:val="en-GB"/>
        </w:rPr>
        <w:t>RSRPs</w:t>
      </w:r>
      <w:r>
        <w:rPr>
          <w:rFonts w:hint="eastAsia" w:eastAsia="Times New Roman"/>
          <w:sz w:val="20"/>
          <w:szCs w:val="20"/>
        </w:rPr>
        <w:t xml:space="preserve"> of selected beams (16x1=16 beams) are used as </w:t>
      </w:r>
      <w:r>
        <w:rPr>
          <w:rFonts w:hint="eastAsia"/>
          <w:sz w:val="20"/>
          <w:szCs w:val="20"/>
          <w:lang w:eastAsia="zh-CN"/>
        </w:rPr>
        <w:t xml:space="preserve">AI/ML model </w:t>
      </w:r>
      <w:r>
        <w:rPr>
          <w:rFonts w:hint="eastAsia" w:eastAsia="Times New Roman"/>
          <w:sz w:val="20"/>
          <w:szCs w:val="20"/>
        </w:rPr>
        <w:t xml:space="preserve">inputs </w:t>
      </w:r>
      <w:r>
        <w:rPr>
          <w:rFonts w:hint="eastAsia" w:eastAsia="Times New Roman"/>
          <w:sz w:val="20"/>
          <w:szCs w:val="20"/>
          <w:lang w:val="en-GB"/>
        </w:rPr>
        <w:t xml:space="preserve">and predicted RSRPs of all </w:t>
      </w:r>
      <w:r>
        <w:rPr>
          <w:rFonts w:hint="eastAsia"/>
          <w:sz w:val="20"/>
          <w:szCs w:val="20"/>
        </w:rPr>
        <w:t xml:space="preserve">Tx </w:t>
      </w:r>
      <w:r>
        <w:rPr>
          <w:rFonts w:hint="eastAsia" w:eastAsia="Times New Roman"/>
          <w:sz w:val="20"/>
          <w:szCs w:val="20"/>
          <w:lang w:val="en-GB"/>
        </w:rPr>
        <w:t>beams</w:t>
      </w:r>
      <w:r>
        <w:rPr>
          <w:rFonts w:hint="eastAsia" w:eastAsia="Times New Roman"/>
          <w:sz w:val="20"/>
          <w:szCs w:val="20"/>
        </w:rPr>
        <w:t xml:space="preserve"> (64x1=64 beams)</w:t>
      </w:r>
      <w:r>
        <w:rPr>
          <w:rFonts w:hint="eastAsia" w:eastAsia="Times New Roman"/>
          <w:sz w:val="20"/>
          <w:szCs w:val="20"/>
          <w:lang w:val="en-GB"/>
        </w:rPr>
        <w:t xml:space="preserve"> </w:t>
      </w:r>
      <w:r>
        <w:rPr>
          <w:rFonts w:hint="eastAsia" w:eastAsia="Times New Roman"/>
          <w:sz w:val="20"/>
          <w:szCs w:val="20"/>
        </w:rPr>
        <w:t xml:space="preserve">are used as </w:t>
      </w:r>
      <w:r>
        <w:rPr>
          <w:rFonts w:hint="eastAsia"/>
          <w:sz w:val="20"/>
          <w:szCs w:val="20"/>
          <w:lang w:eastAsia="zh-CN"/>
        </w:rPr>
        <w:t xml:space="preserve">AI/ML model </w:t>
      </w:r>
      <w:r>
        <w:rPr>
          <w:rFonts w:hint="eastAsia" w:eastAsia="Times New Roman"/>
          <w:sz w:val="20"/>
          <w:szCs w:val="20"/>
        </w:rPr>
        <w:t xml:space="preserve">outputs.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1-4-1-4: </w:t>
      </w:r>
      <w:r>
        <w:rPr>
          <w:rFonts w:hint="eastAsia"/>
          <w:sz w:val="20"/>
          <w:szCs w:val="20"/>
        </w:rPr>
        <w:t xml:space="preserve">In the </w:t>
      </w:r>
      <w:r>
        <w:rPr>
          <w:rFonts w:hint="eastAsia" w:eastAsia="Times New Roman"/>
          <w:sz w:val="20"/>
          <w:szCs w:val="20"/>
        </w:rPr>
        <w:t xml:space="preserve">&lt;T32 R1&gt; case for </w:t>
      </w:r>
      <w:r>
        <w:rPr>
          <w:rFonts w:eastAsia="Times New Roman"/>
          <w:sz w:val="20"/>
          <w:szCs w:val="20"/>
        </w:rPr>
        <w:t>Tx</w:t>
      </w:r>
      <w:r>
        <w:rPr>
          <w:rFonts w:hint="eastAsia" w:eastAsia="Times New Roman"/>
          <w:sz w:val="20"/>
          <w:szCs w:val="20"/>
        </w:rPr>
        <w:t xml:space="preserve"> </w:t>
      </w:r>
      <w:r>
        <w:rPr>
          <w:rFonts w:eastAsia="Times New Roman"/>
          <w:sz w:val="20"/>
          <w:szCs w:val="20"/>
        </w:rPr>
        <w:t>beam prediction</w:t>
      </w:r>
      <w:r>
        <w:rPr>
          <w:rFonts w:hint="eastAsia" w:eastAsia="Times New Roman"/>
          <w:sz w:val="20"/>
          <w:szCs w:val="20"/>
        </w:rPr>
        <w:t xml:space="preserve">, </w:t>
      </w:r>
      <w:r>
        <w:rPr>
          <w:rFonts w:hint="eastAsia"/>
          <w:sz w:val="20"/>
          <w:szCs w:val="20"/>
        </w:rPr>
        <w:t xml:space="preserve">32 </w:t>
      </w:r>
      <w:r>
        <w:rPr>
          <w:rFonts w:hint="eastAsia" w:eastAsia="Times New Roman"/>
          <w:sz w:val="20"/>
          <w:szCs w:val="20"/>
          <w:lang w:val="en-GB"/>
        </w:rPr>
        <w:t>fixed beams</w:t>
      </w:r>
      <w:r>
        <w:rPr>
          <w:rFonts w:hint="eastAsia"/>
          <w:sz w:val="20"/>
          <w:szCs w:val="20"/>
        </w:rPr>
        <w:t xml:space="preserve"> </w:t>
      </w:r>
      <w:r>
        <w:rPr>
          <w:rFonts w:hint="eastAsia" w:eastAsia="Times New Roman"/>
          <w:sz w:val="20"/>
          <w:szCs w:val="20"/>
          <w:lang w:val="en-GB"/>
        </w:rPr>
        <w:t>picked out of 64</w:t>
      </w:r>
      <w:r>
        <w:rPr>
          <w:rFonts w:hint="eastAsia"/>
          <w:sz w:val="20"/>
          <w:szCs w:val="20"/>
        </w:rPr>
        <w:t xml:space="preserve"> </w:t>
      </w:r>
      <w:r>
        <w:rPr>
          <w:rFonts w:hint="eastAsia" w:eastAsia="Times New Roman"/>
          <w:sz w:val="20"/>
          <w:szCs w:val="20"/>
          <w:lang w:val="en-GB"/>
        </w:rPr>
        <w:t>Tx beams</w:t>
      </w:r>
      <w:r>
        <w:rPr>
          <w:rFonts w:hint="eastAsia"/>
          <w:sz w:val="20"/>
          <w:szCs w:val="20"/>
        </w:rPr>
        <w:t xml:space="preserve"> by uniform sampling </w:t>
      </w:r>
      <w:r>
        <w:rPr>
          <w:rFonts w:hint="eastAsia" w:eastAsia="Times New Roman"/>
          <w:sz w:val="20"/>
          <w:szCs w:val="20"/>
          <w:lang w:val="en-GB"/>
        </w:rPr>
        <w:t>are transmitted by the gNB</w:t>
      </w:r>
      <w:r>
        <w:rPr>
          <w:rFonts w:hint="eastAsia"/>
          <w:sz w:val="20"/>
          <w:szCs w:val="20"/>
        </w:rPr>
        <w:t xml:space="preserve"> and measured by one Rx beam that </w:t>
      </w:r>
      <w:r>
        <w:rPr>
          <w:rFonts w:hint="eastAsia" w:eastAsia="Times New Roman"/>
          <w:sz w:val="20"/>
          <w:szCs w:val="20"/>
        </w:rPr>
        <w:t>is optimal</w:t>
      </w:r>
      <w:r>
        <w:rPr>
          <w:rFonts w:hint="eastAsia"/>
          <w:sz w:val="20"/>
          <w:szCs w:val="20"/>
        </w:rPr>
        <w:t xml:space="preserve"> (i.e., Rx beam assumption 3)</w:t>
      </w:r>
      <w:r>
        <w:rPr>
          <w:rFonts w:hint="eastAsia" w:eastAsia="Times New Roman"/>
          <w:sz w:val="20"/>
          <w:szCs w:val="20"/>
        </w:rPr>
        <w:t xml:space="preserve"> during the beam measurement procedure. In this case, </w:t>
      </w:r>
      <w:r>
        <w:rPr>
          <w:rFonts w:hint="eastAsia" w:eastAsia="Times New Roman"/>
          <w:sz w:val="20"/>
          <w:szCs w:val="20"/>
          <w:lang w:val="en-GB"/>
        </w:rPr>
        <w:t>RSRPs</w:t>
      </w:r>
      <w:r>
        <w:rPr>
          <w:rFonts w:hint="eastAsia" w:eastAsia="Times New Roman"/>
          <w:sz w:val="20"/>
          <w:szCs w:val="20"/>
        </w:rPr>
        <w:t xml:space="preserve"> of selected beams (32x1=32 beams) are used as </w:t>
      </w:r>
      <w:r>
        <w:rPr>
          <w:rFonts w:hint="eastAsia"/>
          <w:sz w:val="20"/>
          <w:szCs w:val="20"/>
          <w:lang w:eastAsia="zh-CN"/>
        </w:rPr>
        <w:t xml:space="preserve">AI/ML model </w:t>
      </w:r>
      <w:r>
        <w:rPr>
          <w:rFonts w:hint="eastAsia" w:eastAsia="Times New Roman"/>
          <w:sz w:val="20"/>
          <w:szCs w:val="20"/>
        </w:rPr>
        <w:t xml:space="preserve">inputs </w:t>
      </w:r>
      <w:r>
        <w:rPr>
          <w:rFonts w:hint="eastAsia" w:eastAsia="Times New Roman"/>
          <w:sz w:val="20"/>
          <w:szCs w:val="20"/>
          <w:lang w:val="en-GB"/>
        </w:rPr>
        <w:t xml:space="preserve">and predicted RSRPs of all </w:t>
      </w:r>
      <w:r>
        <w:rPr>
          <w:rFonts w:hint="eastAsia"/>
          <w:sz w:val="20"/>
          <w:szCs w:val="20"/>
        </w:rPr>
        <w:t xml:space="preserve">Tx </w:t>
      </w:r>
      <w:r>
        <w:rPr>
          <w:rFonts w:hint="eastAsia" w:eastAsia="Times New Roman"/>
          <w:sz w:val="20"/>
          <w:szCs w:val="20"/>
          <w:lang w:val="en-GB"/>
        </w:rPr>
        <w:t>beams</w:t>
      </w:r>
      <w:r>
        <w:rPr>
          <w:rFonts w:hint="eastAsia" w:eastAsia="Times New Roman"/>
          <w:sz w:val="20"/>
          <w:szCs w:val="20"/>
        </w:rPr>
        <w:t xml:space="preserve"> (64x1=64 beams)</w:t>
      </w:r>
      <w:r>
        <w:rPr>
          <w:rFonts w:hint="eastAsia" w:eastAsia="Times New Roman"/>
          <w:sz w:val="20"/>
          <w:szCs w:val="20"/>
          <w:lang w:val="en-GB"/>
        </w:rPr>
        <w:t xml:space="preserve"> </w:t>
      </w:r>
      <w:r>
        <w:rPr>
          <w:rFonts w:hint="eastAsia" w:eastAsia="Times New Roman"/>
          <w:sz w:val="20"/>
          <w:szCs w:val="20"/>
        </w:rPr>
        <w:t xml:space="preserve">are used as </w:t>
      </w:r>
      <w:r>
        <w:rPr>
          <w:rFonts w:hint="eastAsia"/>
          <w:sz w:val="20"/>
          <w:szCs w:val="20"/>
          <w:lang w:eastAsia="zh-CN"/>
        </w:rPr>
        <w:t xml:space="preserve">AI/ML model </w:t>
      </w:r>
      <w:r>
        <w:rPr>
          <w:rFonts w:hint="eastAsia" w:eastAsia="Times New Roman"/>
          <w:sz w:val="20"/>
          <w:szCs w:val="20"/>
        </w:rPr>
        <w:t>outputs.</w:t>
      </w:r>
    </w:p>
    <w:p>
      <w:pPr>
        <w:snapToGrid w:val="0"/>
        <w:spacing w:before="72" w:beforeLines="30" w:after="72" w:afterLines="30" w:line="288" w:lineRule="auto"/>
        <w:jc w:val="both"/>
        <w:rPr>
          <w:rFonts w:eastAsia="Times New Roman"/>
          <w:sz w:val="20"/>
          <w:szCs w:val="20"/>
        </w:rPr>
      </w:pPr>
      <w:r>
        <w:rPr>
          <w:rFonts w:hint="eastAsia"/>
          <w:sz w:val="20"/>
          <w:szCs w:val="20"/>
        </w:rPr>
        <w:t xml:space="preserve">Detailed simulation results of the above four cases are provided in the result collection excel [2]. Some of the </w:t>
      </w:r>
      <w:r>
        <w:rPr>
          <w:rFonts w:hint="eastAsia" w:eastAsia="Times New Roman"/>
          <w:sz w:val="20"/>
          <w:szCs w:val="20"/>
        </w:rPr>
        <w:t xml:space="preserve">simulation results are </w:t>
      </w:r>
      <w:r>
        <w:rPr>
          <w:rFonts w:hint="eastAsia"/>
          <w:sz w:val="20"/>
          <w:szCs w:val="20"/>
        </w:rPr>
        <w:t xml:space="preserve">also </w:t>
      </w:r>
      <w:r>
        <w:rPr>
          <w:rFonts w:hint="eastAsia" w:eastAsia="Times New Roman"/>
          <w:sz w:val="20"/>
          <w:szCs w:val="20"/>
        </w:rPr>
        <w:t xml:space="preserve">provided in Table </w:t>
      </w:r>
      <w:r>
        <w:rPr>
          <w:rFonts w:hint="eastAsia" w:eastAsia="Times New Roman"/>
          <w:sz w:val="20"/>
          <w:szCs w:val="20"/>
        </w:rPr>
        <w:fldChar w:fldCharType="begin"/>
      </w:r>
      <w:r>
        <w:rPr>
          <w:rFonts w:hint="eastAsia" w:eastAsia="Times New Roman"/>
          <w:sz w:val="20"/>
          <w:szCs w:val="20"/>
        </w:rPr>
        <w:instrText xml:space="preserve"> = 8 \* ROMAN \* MERGEFORMAT </w:instrText>
      </w:r>
      <w:r>
        <w:rPr>
          <w:rFonts w:hint="eastAsia" w:eastAsia="Times New Roman"/>
          <w:sz w:val="20"/>
          <w:szCs w:val="20"/>
        </w:rPr>
        <w:fldChar w:fldCharType="separate"/>
      </w:r>
      <w:r>
        <w:rPr>
          <w:rFonts w:hint="eastAsia" w:eastAsia="Times New Roman"/>
          <w:sz w:val="20"/>
          <w:szCs w:val="20"/>
        </w:rPr>
        <w:t>VII</w:t>
      </w:r>
      <w:r>
        <w:rPr>
          <w:rFonts w:hint="eastAsia" w:eastAsia="Times New Roman"/>
          <w:sz w:val="20"/>
          <w:szCs w:val="20"/>
        </w:rPr>
        <w:fldChar w:fldCharType="end"/>
      </w:r>
      <w:r>
        <w:rPr>
          <w:rFonts w:hint="eastAsia"/>
          <w:sz w:val="20"/>
          <w:szCs w:val="20"/>
        </w:rPr>
        <w:t xml:space="preserve"> for reference</w:t>
      </w:r>
      <w:r>
        <w:rPr>
          <w:rFonts w:hint="eastAsia" w:eastAsia="Times New Roman"/>
          <w:sz w:val="20"/>
          <w:szCs w:val="20"/>
        </w:rPr>
        <w:t>. It can be observed that</w:t>
      </w:r>
      <w:r>
        <w:rPr>
          <w:rFonts w:hint="eastAsia" w:eastAsia="宋体"/>
          <w:sz w:val="20"/>
          <w:szCs w:val="20"/>
          <w:lang w:val="en-US" w:eastAsia="zh-CN"/>
        </w:rPr>
        <w:t xml:space="preserve"> case 1-4-1-4 (i.e., </w:t>
      </w:r>
      <w:r>
        <w:rPr>
          <w:rFonts w:hint="eastAsia" w:eastAsia="Times New Roman"/>
          <w:sz w:val="20"/>
          <w:szCs w:val="20"/>
        </w:rPr>
        <w:t>&lt;T32 R1&gt;</w:t>
      </w:r>
      <w:r>
        <w:rPr>
          <w:rFonts w:hint="eastAsia" w:eastAsia="宋体"/>
          <w:sz w:val="20"/>
          <w:szCs w:val="20"/>
          <w:lang w:val="en-US" w:eastAsia="zh-CN"/>
        </w:rPr>
        <w:t>) outperforms all other cases in terms of beam prediction accuracy. Definitely, more beam measurement input to the AI/ML model will generate better beam prediction performance. For generalization evaluation, case 1-4-1-</w:t>
      </w:r>
      <w:r>
        <w:rPr>
          <w:rFonts w:hint="eastAsia"/>
          <w:sz w:val="20"/>
          <w:szCs w:val="20"/>
          <w:lang w:val="en-US" w:eastAsia="zh-CN"/>
        </w:rPr>
        <w:t xml:space="preserve">1 </w:t>
      </w:r>
      <w:r>
        <w:rPr>
          <w:rFonts w:hint="eastAsia" w:eastAsia="宋体"/>
          <w:sz w:val="20"/>
          <w:szCs w:val="20"/>
          <w:lang w:val="en-US" w:eastAsia="zh-CN"/>
        </w:rPr>
        <w:t xml:space="preserve">that AI/ML model training and testing are performed in mixed datasets of &lt;T8 R1&gt;, &lt;T16 R1&gt;, and &lt;T32 R1&gt; with different beam constructions achieves a better performance than that of the case of &lt;T8 R1&gt;, but is outperformed by the case of &lt;T32 R1&gt;. </w:t>
      </w:r>
      <w:r>
        <w:rPr>
          <w:rFonts w:hint="eastAsia" w:eastAsia="Times New Roman"/>
          <w:sz w:val="20"/>
          <w:szCs w:val="20"/>
        </w:rPr>
        <w:t xml:space="preserve">Additionally, the case of </w:t>
      </w:r>
      <w:r>
        <w:rPr>
          <w:rFonts w:hint="eastAsia" w:eastAsia="宋体"/>
          <w:sz w:val="20"/>
          <w:szCs w:val="20"/>
          <w:lang w:val="en-US" w:eastAsia="zh-CN"/>
        </w:rPr>
        <w:t xml:space="preserve">AI/ML model </w:t>
      </w:r>
      <w:r>
        <w:rPr>
          <w:rFonts w:hint="eastAsia" w:eastAsia="Times New Roman"/>
          <w:sz w:val="20"/>
          <w:szCs w:val="20"/>
        </w:rPr>
        <w:t>generalization can obtain significant performance gain over the non-AI case.</w:t>
      </w:r>
    </w:p>
    <w:p>
      <w:pPr>
        <w:snapToGrid w:val="0"/>
        <w:spacing w:before="72" w:beforeLines="30" w:after="72" w:afterLines="30" w:line="288" w:lineRule="auto"/>
        <w:jc w:val="center"/>
        <w:rPr>
          <w:rFonts w:eastAsia="Times New Roman"/>
          <w:sz w:val="20"/>
          <w:szCs w:val="20"/>
        </w:rPr>
      </w:pPr>
      <w:r>
        <w:rPr>
          <w:rFonts w:hint="eastAsia" w:eastAsia="Times New Roman"/>
          <w:sz w:val="20"/>
          <w:szCs w:val="20"/>
        </w:rPr>
        <w:t xml:space="preserve">Table </w:t>
      </w:r>
      <w:r>
        <w:rPr>
          <w:rFonts w:hint="eastAsia" w:eastAsia="Times New Roman"/>
          <w:sz w:val="20"/>
          <w:szCs w:val="20"/>
        </w:rPr>
        <w:fldChar w:fldCharType="begin"/>
      </w:r>
      <w:r>
        <w:rPr>
          <w:rFonts w:hint="eastAsia" w:eastAsia="Times New Roman"/>
          <w:sz w:val="20"/>
          <w:szCs w:val="20"/>
        </w:rPr>
        <w:instrText xml:space="preserve"> = 7 \* ROMAN \* MERGEFORMAT </w:instrText>
      </w:r>
      <w:r>
        <w:rPr>
          <w:rFonts w:hint="eastAsia" w:eastAsia="Times New Roman"/>
          <w:sz w:val="20"/>
          <w:szCs w:val="20"/>
        </w:rPr>
        <w:fldChar w:fldCharType="separate"/>
      </w:r>
      <w:r>
        <w:rPr>
          <w:rFonts w:hint="eastAsia" w:eastAsia="Times New Roman"/>
          <w:sz w:val="20"/>
          <w:szCs w:val="20"/>
        </w:rPr>
        <w:t>VII</w:t>
      </w:r>
      <w:r>
        <w:rPr>
          <w:rFonts w:hint="eastAsia" w:eastAsia="Times New Roman"/>
          <w:sz w:val="20"/>
          <w:szCs w:val="20"/>
        </w:rPr>
        <w:fldChar w:fldCharType="end"/>
      </w:r>
      <w:r>
        <w:rPr>
          <w:rFonts w:hint="eastAsia" w:eastAsia="Times New Roman"/>
          <w:sz w:val="20"/>
          <w:szCs w:val="20"/>
          <w:lang w:val="en-GB"/>
        </w:rPr>
        <w:t xml:space="preserve">. </w:t>
      </w:r>
      <w:r>
        <w:rPr>
          <w:rFonts w:hint="eastAsia" w:eastAsia="Times New Roman"/>
          <w:sz w:val="20"/>
          <w:szCs w:val="20"/>
        </w:rPr>
        <w:t>Simulation results for generalization performance evaluation on different number of beams in set B</w:t>
      </w:r>
    </w:p>
    <w:tbl>
      <w:tblPr>
        <w:tblStyle w:val="24"/>
        <w:tblW w:w="3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4"/>
        <w:gridCol w:w="854"/>
        <w:gridCol w:w="1387"/>
        <w:gridCol w:w="1437"/>
        <w:gridCol w:w="1344"/>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419" w:type="pct"/>
            <w:gridSpan w:val="2"/>
            <w:vAlign w:val="center"/>
          </w:tcPr>
          <w:p>
            <w:pPr>
              <w:pStyle w:val="100"/>
              <w:widowControl w:val="0"/>
              <w:snapToGrid w:val="0"/>
              <w:spacing w:before="72" w:beforeLines="30" w:after="72" w:afterLines="30" w:line="288" w:lineRule="auto"/>
              <w:ind w:firstLine="0" w:firstLineChars="0"/>
              <w:contextualSpacing/>
              <w:jc w:val="center"/>
              <w:rPr>
                <w:sz w:val="20"/>
                <w:szCs w:val="20"/>
              </w:rPr>
            </w:pPr>
          </w:p>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Cases</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Average L1-RSRP difference of Top-1 predicted beam</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Beam prediction accuracy with 1dB margin for Top-1 beam</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Beam prediction accuracy for Top-1 beam</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Beam prediction accuracy for Top-5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60" w:type="pct"/>
            <w:vMerge w:val="restart"/>
            <w:vAlign w:val="center"/>
          </w:tcPr>
          <w:p>
            <w:pPr>
              <w:widowControl w:val="0"/>
              <w:adjustRightInd w:val="0"/>
              <w:snapToGrid w:val="0"/>
              <w:spacing w:before="72" w:beforeLines="30" w:after="72" w:afterLines="30" w:line="288" w:lineRule="auto"/>
              <w:jc w:val="center"/>
              <w:rPr>
                <w:sz w:val="20"/>
                <w:szCs w:val="20"/>
              </w:rPr>
            </w:pPr>
            <w:r>
              <w:rPr>
                <w:rFonts w:eastAsia="Times New Roman"/>
                <w:sz w:val="20"/>
                <w:szCs w:val="20"/>
              </w:rPr>
              <w:t>Case 1-4-1-1</w:t>
            </w:r>
          </w:p>
        </w:tc>
        <w:tc>
          <w:tcPr>
            <w:tcW w:w="558" w:type="pct"/>
            <w:vAlign w:val="center"/>
          </w:tcPr>
          <w:p>
            <w:pPr>
              <w:widowControl w:val="0"/>
              <w:adjustRightInd w:val="0"/>
              <w:snapToGrid w:val="0"/>
              <w:spacing w:before="72" w:beforeLines="30" w:after="72" w:afterLines="30" w:line="288" w:lineRule="auto"/>
              <w:jc w:val="center"/>
              <w:rPr>
                <w:sz w:val="20"/>
                <w:szCs w:val="20"/>
              </w:rPr>
            </w:pPr>
            <w:r>
              <w:rPr>
                <w:sz w:val="20"/>
                <w:szCs w:val="20"/>
              </w:rPr>
              <w:t>Non-AI</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3.405</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44.17%</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30.03%</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30.03%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60" w:type="pct"/>
            <w:vMerge w:val="continue"/>
            <w:vAlign w:val="center"/>
          </w:tcPr>
          <w:p>
            <w:pPr>
              <w:widowControl w:val="0"/>
              <w:adjustRightInd w:val="0"/>
              <w:snapToGrid w:val="0"/>
              <w:spacing w:before="72" w:beforeLines="30" w:after="72" w:afterLines="30" w:line="288" w:lineRule="auto"/>
              <w:jc w:val="center"/>
              <w:rPr>
                <w:sz w:val="20"/>
                <w:szCs w:val="20"/>
              </w:rPr>
            </w:pPr>
          </w:p>
        </w:tc>
        <w:tc>
          <w:tcPr>
            <w:tcW w:w="558" w:type="pct"/>
            <w:vAlign w:val="center"/>
          </w:tcPr>
          <w:p>
            <w:pPr>
              <w:widowControl w:val="0"/>
              <w:adjustRightInd w:val="0"/>
              <w:snapToGrid w:val="0"/>
              <w:spacing w:before="72" w:beforeLines="30" w:after="72" w:afterLines="30" w:line="288" w:lineRule="auto"/>
              <w:jc w:val="center"/>
              <w:rPr>
                <w:rFonts w:eastAsia="Times New Roman"/>
                <w:sz w:val="20"/>
                <w:szCs w:val="20"/>
              </w:rPr>
            </w:pPr>
            <w:r>
              <w:rPr>
                <w:rFonts w:eastAsia="Times New Roman"/>
                <w:sz w:val="20"/>
                <w:szCs w:val="20"/>
              </w:rPr>
              <w:t>AI</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0.314</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94.73%</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84.8</w:t>
            </w:r>
            <w:r>
              <w:rPr>
                <w:rFonts w:hint="eastAsia"/>
                <w:sz w:val="20"/>
                <w:szCs w:val="20"/>
                <w:lang w:val="en-US" w:eastAsia="zh-CN"/>
              </w:rPr>
              <w:t>7</w:t>
            </w:r>
            <w:r>
              <w:rPr>
                <w:sz w:val="20"/>
                <w:szCs w:val="20"/>
              </w:rPr>
              <w:t>%</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60" w:type="pct"/>
            <w:vMerge w:val="restart"/>
            <w:vAlign w:val="center"/>
          </w:tcPr>
          <w:p>
            <w:pPr>
              <w:widowControl w:val="0"/>
              <w:adjustRightInd w:val="0"/>
              <w:snapToGrid w:val="0"/>
              <w:spacing w:before="72" w:beforeLines="30" w:after="72" w:afterLines="30" w:line="288" w:lineRule="auto"/>
              <w:jc w:val="center"/>
              <w:rPr>
                <w:sz w:val="20"/>
                <w:szCs w:val="20"/>
              </w:rPr>
            </w:pPr>
            <w:r>
              <w:rPr>
                <w:rFonts w:eastAsia="Times New Roman"/>
                <w:sz w:val="20"/>
                <w:szCs w:val="20"/>
              </w:rPr>
              <w:t>Case 1-4-1-2</w:t>
            </w:r>
            <w:r>
              <w:rPr>
                <w:sz w:val="20"/>
                <w:szCs w:val="20"/>
              </w:rPr>
              <w:t xml:space="preserve"> </w:t>
            </w:r>
          </w:p>
        </w:tc>
        <w:tc>
          <w:tcPr>
            <w:tcW w:w="558" w:type="pct"/>
            <w:vAlign w:val="center"/>
          </w:tcPr>
          <w:p>
            <w:pPr>
              <w:widowControl w:val="0"/>
              <w:adjustRightInd w:val="0"/>
              <w:snapToGrid w:val="0"/>
              <w:spacing w:before="72" w:beforeLines="30" w:after="72" w:afterLines="30" w:line="288" w:lineRule="auto"/>
              <w:jc w:val="center"/>
              <w:rPr>
                <w:sz w:val="20"/>
                <w:szCs w:val="20"/>
              </w:rPr>
            </w:pPr>
            <w:r>
              <w:rPr>
                <w:sz w:val="20"/>
                <w:szCs w:val="20"/>
              </w:rPr>
              <w:t>Non-AI</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6.9198</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19.80%</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12.60%</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12.60%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60" w:type="pct"/>
            <w:vMerge w:val="continue"/>
            <w:vAlign w:val="center"/>
          </w:tcPr>
          <w:p>
            <w:pPr>
              <w:widowControl w:val="0"/>
              <w:adjustRightInd w:val="0"/>
              <w:snapToGrid w:val="0"/>
              <w:spacing w:before="72" w:beforeLines="30" w:after="72" w:afterLines="30" w:line="288" w:lineRule="auto"/>
              <w:jc w:val="center"/>
              <w:rPr>
                <w:sz w:val="20"/>
                <w:szCs w:val="20"/>
              </w:rPr>
            </w:pPr>
          </w:p>
        </w:tc>
        <w:tc>
          <w:tcPr>
            <w:tcW w:w="558" w:type="pct"/>
            <w:vAlign w:val="center"/>
          </w:tcPr>
          <w:p>
            <w:pPr>
              <w:widowControl w:val="0"/>
              <w:adjustRightInd w:val="0"/>
              <w:snapToGrid w:val="0"/>
              <w:spacing w:before="72" w:beforeLines="30" w:after="72" w:afterLines="30" w:line="288" w:lineRule="auto"/>
              <w:jc w:val="center"/>
              <w:rPr>
                <w:sz w:val="20"/>
                <w:szCs w:val="20"/>
              </w:rPr>
            </w:pPr>
            <w:r>
              <w:rPr>
                <w:sz w:val="20"/>
                <w:szCs w:val="20"/>
              </w:rPr>
              <w:t>AI</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0.832</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86.55%</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72.60%</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60" w:type="pct"/>
            <w:vMerge w:val="restart"/>
            <w:vAlign w:val="center"/>
          </w:tcPr>
          <w:p>
            <w:pPr>
              <w:widowControl w:val="0"/>
              <w:adjustRightInd w:val="0"/>
              <w:snapToGrid w:val="0"/>
              <w:spacing w:before="72" w:beforeLines="30" w:after="72" w:afterLines="30" w:line="288" w:lineRule="auto"/>
              <w:jc w:val="center"/>
              <w:rPr>
                <w:sz w:val="20"/>
                <w:szCs w:val="20"/>
              </w:rPr>
            </w:pPr>
            <w:r>
              <w:rPr>
                <w:rFonts w:eastAsia="Times New Roman"/>
                <w:sz w:val="20"/>
                <w:szCs w:val="20"/>
              </w:rPr>
              <w:t>Case 1-4-1-3</w:t>
            </w:r>
          </w:p>
        </w:tc>
        <w:tc>
          <w:tcPr>
            <w:tcW w:w="558" w:type="pct"/>
            <w:vAlign w:val="center"/>
          </w:tcPr>
          <w:p>
            <w:pPr>
              <w:widowControl w:val="0"/>
              <w:adjustRightInd w:val="0"/>
              <w:snapToGrid w:val="0"/>
              <w:spacing w:before="72" w:beforeLines="30" w:after="72" w:afterLines="30" w:line="288" w:lineRule="auto"/>
              <w:jc w:val="center"/>
              <w:rPr>
                <w:sz w:val="20"/>
                <w:szCs w:val="20"/>
              </w:rPr>
            </w:pPr>
            <w:r>
              <w:rPr>
                <w:sz w:val="20"/>
                <w:szCs w:val="20"/>
              </w:rPr>
              <w:t>Non-AI</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3.391</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40.45%</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25.95%</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25.95%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60" w:type="pct"/>
            <w:vMerge w:val="continue"/>
            <w:vAlign w:val="center"/>
          </w:tcPr>
          <w:p>
            <w:pPr>
              <w:widowControl w:val="0"/>
              <w:adjustRightInd w:val="0"/>
              <w:snapToGrid w:val="0"/>
              <w:spacing w:before="72" w:beforeLines="30" w:after="72" w:afterLines="30" w:line="288" w:lineRule="auto"/>
              <w:jc w:val="center"/>
              <w:rPr>
                <w:sz w:val="20"/>
                <w:szCs w:val="20"/>
              </w:rPr>
            </w:pPr>
          </w:p>
        </w:tc>
        <w:tc>
          <w:tcPr>
            <w:tcW w:w="558" w:type="pct"/>
            <w:vAlign w:val="center"/>
          </w:tcPr>
          <w:p>
            <w:pPr>
              <w:widowControl w:val="0"/>
              <w:adjustRightInd w:val="0"/>
              <w:snapToGrid w:val="0"/>
              <w:spacing w:before="72" w:beforeLines="30" w:after="72" w:afterLines="30" w:line="288" w:lineRule="auto"/>
              <w:jc w:val="center"/>
              <w:rPr>
                <w:sz w:val="20"/>
                <w:szCs w:val="20"/>
              </w:rPr>
            </w:pPr>
            <w:r>
              <w:rPr>
                <w:sz w:val="20"/>
                <w:szCs w:val="20"/>
              </w:rPr>
              <w:t>AI</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0.096</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98.10%</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88.25%</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60" w:type="pct"/>
            <w:vMerge w:val="restart"/>
            <w:vAlign w:val="center"/>
          </w:tcPr>
          <w:p>
            <w:pPr>
              <w:widowControl w:val="0"/>
              <w:adjustRightInd w:val="0"/>
              <w:snapToGrid w:val="0"/>
              <w:spacing w:before="72" w:beforeLines="30" w:after="72" w:afterLines="30" w:line="288" w:lineRule="auto"/>
              <w:jc w:val="center"/>
              <w:rPr>
                <w:sz w:val="20"/>
                <w:szCs w:val="20"/>
              </w:rPr>
            </w:pPr>
            <w:r>
              <w:rPr>
                <w:rFonts w:eastAsia="Times New Roman"/>
                <w:sz w:val="20"/>
                <w:szCs w:val="20"/>
              </w:rPr>
              <w:t>Case 1-4-1-4</w:t>
            </w:r>
          </w:p>
        </w:tc>
        <w:tc>
          <w:tcPr>
            <w:tcW w:w="558" w:type="pct"/>
            <w:vAlign w:val="center"/>
          </w:tcPr>
          <w:p>
            <w:pPr>
              <w:widowControl w:val="0"/>
              <w:adjustRightInd w:val="0"/>
              <w:snapToGrid w:val="0"/>
              <w:spacing w:before="72" w:beforeLines="30" w:after="72" w:afterLines="30" w:line="288" w:lineRule="auto"/>
              <w:jc w:val="center"/>
              <w:rPr>
                <w:sz w:val="20"/>
                <w:szCs w:val="20"/>
              </w:rPr>
            </w:pPr>
            <w:r>
              <w:rPr>
                <w:sz w:val="20"/>
                <w:szCs w:val="20"/>
              </w:rPr>
              <w:t>Non-AI</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0.627</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72.25%</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51.55%</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51.55%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60" w:type="pct"/>
            <w:vMerge w:val="continue"/>
            <w:vAlign w:val="center"/>
          </w:tcPr>
          <w:p>
            <w:pPr>
              <w:widowControl w:val="0"/>
              <w:adjustRightInd w:val="0"/>
              <w:snapToGrid w:val="0"/>
              <w:spacing w:before="72" w:beforeLines="30" w:after="72" w:afterLines="30" w:line="288" w:lineRule="auto"/>
              <w:jc w:val="center"/>
              <w:rPr>
                <w:sz w:val="20"/>
                <w:szCs w:val="20"/>
              </w:rPr>
            </w:pPr>
          </w:p>
        </w:tc>
        <w:tc>
          <w:tcPr>
            <w:tcW w:w="558" w:type="pct"/>
            <w:vAlign w:val="center"/>
          </w:tcPr>
          <w:p>
            <w:pPr>
              <w:widowControl w:val="0"/>
              <w:adjustRightInd w:val="0"/>
              <w:snapToGrid w:val="0"/>
              <w:spacing w:before="72" w:beforeLines="30" w:after="72" w:afterLines="30" w:line="288" w:lineRule="auto"/>
              <w:jc w:val="center"/>
              <w:rPr>
                <w:sz w:val="20"/>
                <w:szCs w:val="20"/>
              </w:rPr>
            </w:pPr>
            <w:r>
              <w:rPr>
                <w:sz w:val="20"/>
                <w:szCs w:val="20"/>
              </w:rPr>
              <w:t>AI</w:t>
            </w:r>
          </w:p>
        </w:tc>
        <w:tc>
          <w:tcPr>
            <w:tcW w:w="908"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0.041</w:t>
            </w:r>
          </w:p>
        </w:tc>
        <w:tc>
          <w:tcPr>
            <w:tcW w:w="941"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99.40%</w:t>
            </w:r>
          </w:p>
        </w:tc>
        <w:tc>
          <w:tcPr>
            <w:tcW w:w="88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92.45%</w:t>
            </w:r>
          </w:p>
        </w:tc>
        <w:tc>
          <w:tcPr>
            <w:tcW w:w="850" w:type="pct"/>
            <w:vAlign w:val="center"/>
          </w:tcPr>
          <w:p>
            <w:pPr>
              <w:pStyle w:val="100"/>
              <w:widowControl w:val="0"/>
              <w:snapToGrid w:val="0"/>
              <w:spacing w:before="72" w:beforeLines="30" w:after="72" w:afterLines="30" w:line="288" w:lineRule="auto"/>
              <w:ind w:firstLine="0" w:firstLineChars="0"/>
              <w:contextualSpacing/>
              <w:jc w:val="center"/>
              <w:rPr>
                <w:sz w:val="20"/>
                <w:szCs w:val="20"/>
              </w:rPr>
            </w:pPr>
            <w:r>
              <w:rPr>
                <w:sz w:val="20"/>
                <w:szCs w:val="20"/>
              </w:rPr>
              <w:t>100.00%</w:t>
            </w:r>
          </w:p>
        </w:tc>
      </w:tr>
    </w:tbl>
    <w:p>
      <w:pPr>
        <w:pStyle w:val="117"/>
        <w:spacing w:before="72" w:after="72"/>
        <w:jc w:val="both"/>
        <w:rPr>
          <w:kern w:val="2"/>
          <w:sz w:val="20"/>
          <w:szCs w:val="20"/>
        </w:rPr>
      </w:pPr>
      <w:r>
        <w:rPr>
          <w:rFonts w:hint="eastAsia"/>
          <w:kern w:val="2"/>
          <w:sz w:val="20"/>
          <w:szCs w:val="20"/>
        </w:rPr>
        <w:t xml:space="preserve">The case that </w:t>
      </w:r>
      <w:r>
        <w:rPr>
          <w:rFonts w:hint="eastAsia"/>
          <w:kern w:val="2"/>
          <w:sz w:val="20"/>
          <w:szCs w:val="20"/>
          <w:lang w:eastAsia="zh-CN"/>
        </w:rPr>
        <w:t xml:space="preserve">AI/ML model </w:t>
      </w:r>
      <w:r>
        <w:rPr>
          <w:rFonts w:hint="eastAsia"/>
          <w:kern w:val="2"/>
          <w:sz w:val="20"/>
          <w:szCs w:val="20"/>
        </w:rPr>
        <w:t xml:space="preserve">training and testing are performed in mixed datasets </w:t>
      </w:r>
      <w:r>
        <w:rPr>
          <w:rFonts w:hint="eastAsia"/>
          <w:kern w:val="2"/>
          <w:sz w:val="20"/>
          <w:szCs w:val="20"/>
          <w:lang w:val="en-US" w:eastAsia="zh-CN"/>
        </w:rPr>
        <w:t xml:space="preserve">of </w:t>
      </w:r>
      <w:r>
        <w:rPr>
          <w:rFonts w:hint="eastAsia"/>
          <w:kern w:val="2"/>
          <w:sz w:val="20"/>
          <w:szCs w:val="20"/>
        </w:rPr>
        <w:t>&lt;T8 R1&gt;</w:t>
      </w:r>
      <w:r>
        <w:rPr>
          <w:rFonts w:hint="eastAsia"/>
          <w:kern w:val="2"/>
          <w:sz w:val="20"/>
          <w:szCs w:val="20"/>
          <w:lang w:val="en-US" w:eastAsia="zh-CN"/>
        </w:rPr>
        <w:t xml:space="preserve">, </w:t>
      </w:r>
      <w:r>
        <w:rPr>
          <w:rFonts w:hint="eastAsia"/>
          <w:kern w:val="2"/>
          <w:sz w:val="20"/>
          <w:szCs w:val="20"/>
        </w:rPr>
        <w:t>&lt;T</w:t>
      </w:r>
      <w:r>
        <w:rPr>
          <w:rFonts w:hint="eastAsia"/>
          <w:kern w:val="2"/>
          <w:sz w:val="20"/>
          <w:szCs w:val="20"/>
          <w:lang w:val="en-US" w:eastAsia="zh-CN"/>
        </w:rPr>
        <w:t>16</w:t>
      </w:r>
      <w:r>
        <w:rPr>
          <w:rFonts w:hint="eastAsia"/>
          <w:kern w:val="2"/>
          <w:sz w:val="20"/>
          <w:szCs w:val="20"/>
        </w:rPr>
        <w:t xml:space="preserve"> R1&gt;</w:t>
      </w:r>
      <w:r>
        <w:rPr>
          <w:rFonts w:hint="eastAsia"/>
          <w:kern w:val="2"/>
          <w:sz w:val="20"/>
          <w:szCs w:val="20"/>
          <w:lang w:val="en-US" w:eastAsia="zh-CN"/>
        </w:rPr>
        <w:t xml:space="preserve">, and </w:t>
      </w:r>
      <w:r>
        <w:rPr>
          <w:rFonts w:hint="eastAsia"/>
          <w:kern w:val="2"/>
          <w:sz w:val="20"/>
          <w:szCs w:val="20"/>
        </w:rPr>
        <w:t>&lt;T</w:t>
      </w:r>
      <w:r>
        <w:rPr>
          <w:rFonts w:hint="eastAsia"/>
          <w:kern w:val="2"/>
          <w:sz w:val="20"/>
          <w:szCs w:val="20"/>
          <w:lang w:val="en-US" w:eastAsia="zh-CN"/>
        </w:rPr>
        <w:t>32</w:t>
      </w:r>
      <w:r>
        <w:rPr>
          <w:rFonts w:hint="eastAsia"/>
          <w:kern w:val="2"/>
          <w:sz w:val="20"/>
          <w:szCs w:val="20"/>
        </w:rPr>
        <w:t xml:space="preserve"> R1&gt;</w:t>
      </w:r>
      <w:r>
        <w:rPr>
          <w:rFonts w:hint="eastAsia"/>
          <w:kern w:val="2"/>
          <w:sz w:val="20"/>
          <w:szCs w:val="20"/>
          <w:lang w:val="en-US" w:eastAsia="zh-CN"/>
        </w:rPr>
        <w:t xml:space="preserve"> </w:t>
      </w:r>
      <w:r>
        <w:rPr>
          <w:rFonts w:hint="eastAsia"/>
          <w:kern w:val="2"/>
          <w:sz w:val="20"/>
          <w:szCs w:val="20"/>
        </w:rPr>
        <w:t>with different beam constructions achieve</w:t>
      </w:r>
      <w:r>
        <w:rPr>
          <w:rFonts w:hint="eastAsia"/>
          <w:kern w:val="2"/>
          <w:sz w:val="20"/>
          <w:szCs w:val="20"/>
          <w:lang w:val="en-US" w:eastAsia="zh-CN"/>
        </w:rPr>
        <w:t>s</w:t>
      </w:r>
      <w:r>
        <w:rPr>
          <w:rFonts w:hint="eastAsia"/>
          <w:kern w:val="2"/>
          <w:sz w:val="20"/>
          <w:szCs w:val="20"/>
        </w:rPr>
        <w:t xml:space="preserve"> a better performance than that of the case of &lt;T8 R1&gt;, but is outperformed by the case of &lt;T32 R1&gt;.</w:t>
      </w:r>
    </w:p>
    <w:p>
      <w:pPr>
        <w:pStyle w:val="117"/>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w:t>
      </w:r>
      <w:r>
        <w:rPr>
          <w:kern w:val="2"/>
          <w:sz w:val="20"/>
          <w:szCs w:val="20"/>
        </w:rPr>
        <w:t xml:space="preserve">a </w:t>
      </w:r>
      <w:r>
        <w:rPr>
          <w:rFonts w:hint="eastAsia"/>
          <w:kern w:val="2"/>
          <w:sz w:val="20"/>
          <w:szCs w:val="20"/>
        </w:rPr>
        <w:t xml:space="preserve">good generalization capability on different </w:t>
      </w:r>
      <w:r>
        <w:rPr>
          <w:rFonts w:hint="eastAsia"/>
          <w:kern w:val="2"/>
          <w:sz w:val="20"/>
          <w:szCs w:val="20"/>
          <w:lang w:val="en-US" w:eastAsia="zh-CN"/>
        </w:rPr>
        <w:t xml:space="preserve">number of </w:t>
      </w:r>
      <w:r>
        <w:rPr>
          <w:rFonts w:hint="eastAsia"/>
          <w:kern w:val="2"/>
          <w:sz w:val="20"/>
          <w:szCs w:val="20"/>
        </w:rPr>
        <w:t>beam</w:t>
      </w:r>
      <w:r>
        <w:rPr>
          <w:rFonts w:hint="eastAsia"/>
          <w:kern w:val="2"/>
          <w:sz w:val="20"/>
          <w:szCs w:val="20"/>
          <w:lang w:val="en-US" w:eastAsia="zh-CN"/>
        </w:rPr>
        <w:t>s</w:t>
      </w:r>
      <w:r>
        <w:rPr>
          <w:rFonts w:hint="eastAsia"/>
          <w:kern w:val="2"/>
          <w:sz w:val="20"/>
          <w:szCs w:val="20"/>
        </w:rPr>
        <w:t xml:space="preserve"> </w:t>
      </w:r>
      <w:r>
        <w:rPr>
          <w:rFonts w:hint="eastAsia"/>
          <w:kern w:val="2"/>
          <w:sz w:val="20"/>
          <w:szCs w:val="20"/>
          <w:lang w:val="en-US" w:eastAsia="zh-CN"/>
        </w:rPr>
        <w:t>in Set B</w:t>
      </w:r>
      <w:r>
        <w:rPr>
          <w:rFonts w:hint="eastAsia"/>
          <w:kern w:val="2"/>
          <w:sz w:val="20"/>
          <w:szCs w:val="20"/>
        </w:rPr>
        <w:t xml:space="preserve"> for Tx beam prediction</w:t>
      </w:r>
      <w:r>
        <w:rPr>
          <w:rFonts w:hint="eastAsia"/>
          <w:kern w:val="2"/>
          <w:sz w:val="20"/>
          <w:szCs w:val="20"/>
          <w:lang w:val="en-US" w:eastAsia="zh-CN"/>
        </w:rPr>
        <w:t>,</w:t>
      </w:r>
      <w:r>
        <w:rPr>
          <w:kern w:val="2"/>
          <w:sz w:val="20"/>
          <w:szCs w:val="20"/>
        </w:rPr>
        <w:t xml:space="preserve"> when the training dataset includes the data from the same setting of test</w:t>
      </w:r>
      <w:r>
        <w:rPr>
          <w:rFonts w:hint="eastAsia"/>
          <w:kern w:val="2"/>
          <w:sz w:val="20"/>
          <w:szCs w:val="20"/>
          <w:lang w:val="en-US" w:eastAsia="zh-CN"/>
        </w:rPr>
        <w:t>ing</w:t>
      </w:r>
      <w:r>
        <w:rPr>
          <w:kern w:val="2"/>
          <w:sz w:val="20"/>
          <w:szCs w:val="20"/>
        </w:rPr>
        <w:t xml:space="preserve"> data</w:t>
      </w:r>
      <w:r>
        <w:rPr>
          <w:rFonts w:hint="eastAsia"/>
          <w:kern w:val="2"/>
          <w:sz w:val="20"/>
          <w:szCs w:val="20"/>
        </w:rPr>
        <w:t xml:space="preserve">. </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Generalization on different Set B patterns</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In order to evaluate the AI model’s generalization capability on different Set B patterns, Set B pattern 1, Set B pattern 2, and Set B pattern 3 showed in Figure </w:t>
      </w:r>
      <w:r>
        <w:rPr>
          <w:rFonts w:hint="eastAsia"/>
          <w:sz w:val="20"/>
          <w:szCs w:val="20"/>
        </w:rPr>
        <w:t>2</w:t>
      </w:r>
      <w:r>
        <w:rPr>
          <w:rFonts w:hint="eastAsia" w:eastAsia="Times New Roman"/>
          <w:sz w:val="20"/>
          <w:szCs w:val="20"/>
        </w:rPr>
        <w:t>-</w:t>
      </w:r>
      <w:r>
        <w:rPr>
          <w:rFonts w:hint="eastAsia"/>
          <w:sz w:val="20"/>
          <w:szCs w:val="20"/>
        </w:rPr>
        <w:t>2</w:t>
      </w:r>
      <w:r>
        <w:rPr>
          <w:rFonts w:hint="eastAsia" w:eastAsia="Times New Roman"/>
          <w:sz w:val="20"/>
          <w:szCs w:val="20"/>
        </w:rPr>
        <w:t xml:space="preserve"> are used to generate data samples. DL Tx beam prediction based on the optimal Rx beam</w:t>
      </w:r>
      <w:r>
        <w:rPr>
          <w:rFonts w:hint="eastAsia"/>
          <w:sz w:val="20"/>
          <w:szCs w:val="20"/>
        </w:rPr>
        <w:t xml:space="preserve"> (i.e., Rx beam assumption 3)</w:t>
      </w:r>
      <w:r>
        <w:rPr>
          <w:rFonts w:hint="eastAsia" w:eastAsia="Times New Roman"/>
          <w:sz w:val="20"/>
          <w:szCs w:val="20"/>
        </w:rPr>
        <w:t xml:space="preserve"> are conducted by the following four different variations of &lt;T16 R1&gt;.</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1-4-2-1: </w:t>
      </w:r>
      <w:r>
        <w:rPr>
          <w:rFonts w:hint="eastAsia" w:eastAsia="Times New Roman"/>
          <w:sz w:val="20"/>
          <w:szCs w:val="20"/>
        </w:rPr>
        <w:t xml:space="preserve">The training data </w:t>
      </w:r>
      <w:r>
        <w:rPr>
          <w:rFonts w:hint="eastAsia"/>
          <w:sz w:val="20"/>
          <w:szCs w:val="20"/>
        </w:rPr>
        <w:t>samples</w:t>
      </w:r>
      <w:r>
        <w:rPr>
          <w:rFonts w:hint="eastAsia" w:eastAsia="Times New Roman"/>
          <w:sz w:val="20"/>
          <w:szCs w:val="20"/>
        </w:rPr>
        <w:t xml:space="preserve"> of the </w:t>
      </w:r>
      <w:r>
        <w:rPr>
          <w:rFonts w:hint="eastAsia"/>
          <w:sz w:val="20"/>
          <w:szCs w:val="20"/>
          <w:lang w:eastAsia="zh-CN"/>
        </w:rPr>
        <w:t xml:space="preserve">AI/ML model </w:t>
      </w:r>
      <w:r>
        <w:rPr>
          <w:rFonts w:hint="eastAsia" w:eastAsia="Times New Roman"/>
          <w:sz w:val="20"/>
          <w:szCs w:val="20"/>
        </w:rPr>
        <w:t xml:space="preserve">consists of </w:t>
      </w:r>
      <w:r>
        <w:rPr>
          <w:rFonts w:hint="eastAsia" w:eastAsia="Times New Roman"/>
          <w:b/>
          <w:bCs/>
          <w:sz w:val="20"/>
          <w:szCs w:val="20"/>
        </w:rPr>
        <w:t>mixed data samples</w:t>
      </w:r>
      <w:r>
        <w:rPr>
          <w:rFonts w:hint="eastAsia" w:eastAsia="Times New Roman"/>
          <w:sz w:val="20"/>
          <w:szCs w:val="20"/>
        </w:rPr>
        <w:t>, which are generated under Set B pattern 1, Set B pattern 2, and Set B pattern 3</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also </w:t>
      </w:r>
      <w:r>
        <w:rPr>
          <w:rFonts w:hint="eastAsia"/>
          <w:b/>
          <w:bCs/>
          <w:sz w:val="20"/>
          <w:szCs w:val="20"/>
        </w:rPr>
        <w:t>the mixed data samples</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1-4-2-2: </w:t>
      </w:r>
      <w:r>
        <w:rPr>
          <w:rFonts w:hint="eastAsia" w:eastAsia="Times New Roman"/>
          <w:sz w:val="20"/>
          <w:szCs w:val="20"/>
        </w:rPr>
        <w:t xml:space="preserve">The training data </w:t>
      </w:r>
      <w:r>
        <w:rPr>
          <w:rFonts w:hint="eastAsia"/>
          <w:sz w:val="20"/>
          <w:szCs w:val="20"/>
        </w:rPr>
        <w:t xml:space="preserve">samples </w:t>
      </w:r>
      <w:r>
        <w:rPr>
          <w:rFonts w:hint="eastAsia" w:eastAsia="Times New Roman"/>
          <w:sz w:val="20"/>
          <w:szCs w:val="20"/>
        </w:rPr>
        <w:t xml:space="preserve">of the </w:t>
      </w:r>
      <w:r>
        <w:rPr>
          <w:rFonts w:hint="eastAsia"/>
          <w:sz w:val="20"/>
          <w:szCs w:val="20"/>
          <w:lang w:eastAsia="zh-CN"/>
        </w:rPr>
        <w:t xml:space="preserve">AI/ML model </w:t>
      </w:r>
      <w:r>
        <w:rPr>
          <w:rFonts w:hint="eastAsia" w:eastAsia="Times New Roman"/>
          <w:sz w:val="20"/>
          <w:szCs w:val="20"/>
        </w:rPr>
        <w:t xml:space="preserve">consists of </w:t>
      </w:r>
      <w:r>
        <w:rPr>
          <w:rFonts w:hint="eastAsia" w:eastAsia="Times New Roman"/>
          <w:b/>
          <w:bCs/>
          <w:sz w:val="20"/>
          <w:szCs w:val="20"/>
        </w:rPr>
        <w:t>mixed data samples</w:t>
      </w:r>
      <w:r>
        <w:rPr>
          <w:rFonts w:hint="eastAsia" w:eastAsia="Times New Roman"/>
          <w:sz w:val="20"/>
          <w:szCs w:val="20"/>
        </w:rPr>
        <w:t>, which are generated under Set B pattern 1, Set B pattern 2 and Set B pattern 3</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generated under </w:t>
      </w:r>
      <w:r>
        <w:rPr>
          <w:rFonts w:hint="eastAsia"/>
          <w:b/>
          <w:bCs/>
          <w:sz w:val="20"/>
          <w:szCs w:val="20"/>
        </w:rPr>
        <w:t>Set B pattern 1</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1-4-2-3: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under </w:t>
      </w:r>
      <w:r>
        <w:rPr>
          <w:rFonts w:hint="eastAsia" w:eastAsia="Times New Roman"/>
          <w:b/>
          <w:bCs/>
          <w:sz w:val="20"/>
          <w:szCs w:val="20"/>
        </w:rPr>
        <w:t>Set B pattern 1</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generated under </w:t>
      </w:r>
      <w:r>
        <w:rPr>
          <w:rFonts w:hint="eastAsia"/>
          <w:b/>
          <w:bCs/>
          <w:sz w:val="20"/>
          <w:szCs w:val="20"/>
        </w:rPr>
        <w:t>Set B pattern 2</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1-4-2-4: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under </w:t>
      </w:r>
      <w:r>
        <w:rPr>
          <w:rFonts w:hint="eastAsia" w:eastAsia="Times New Roman"/>
          <w:b/>
          <w:bCs/>
          <w:sz w:val="20"/>
          <w:szCs w:val="20"/>
        </w:rPr>
        <w:t>Set B pattern 1</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generated under </w:t>
      </w:r>
      <w:r>
        <w:rPr>
          <w:rFonts w:hint="eastAsia"/>
          <w:b/>
          <w:bCs/>
          <w:sz w:val="20"/>
          <w:szCs w:val="20"/>
        </w:rPr>
        <w:t>Set B pattern 1</w:t>
      </w:r>
      <w:r>
        <w:rPr>
          <w:rFonts w:hint="eastAsia"/>
          <w:sz w:val="20"/>
          <w:szCs w:val="20"/>
        </w:rPr>
        <w:t xml:space="preserve">.  </w:t>
      </w:r>
    </w:p>
    <w:p>
      <w:pPr>
        <w:snapToGrid w:val="0"/>
        <w:spacing w:before="72" w:beforeLines="30" w:after="72" w:afterLines="30" w:line="288" w:lineRule="auto"/>
        <w:jc w:val="both"/>
        <w:rPr>
          <w:rFonts w:eastAsia="Times New Roman"/>
          <w:sz w:val="20"/>
          <w:szCs w:val="20"/>
        </w:rPr>
      </w:pPr>
      <w:r>
        <w:rPr>
          <w:rFonts w:hint="eastAsia"/>
          <w:sz w:val="20"/>
          <w:szCs w:val="20"/>
        </w:rPr>
        <w:t xml:space="preserve">Detailed simulation results of the above four cases are provided in the result collection excel [2]. Some of the </w:t>
      </w:r>
      <w:r>
        <w:rPr>
          <w:rFonts w:hint="eastAsia" w:eastAsia="Times New Roman"/>
          <w:sz w:val="20"/>
          <w:szCs w:val="20"/>
        </w:rPr>
        <w:t xml:space="preserve">simulation results are </w:t>
      </w:r>
      <w:r>
        <w:rPr>
          <w:rFonts w:hint="eastAsia"/>
          <w:sz w:val="20"/>
          <w:szCs w:val="20"/>
        </w:rPr>
        <w:t xml:space="preserve">also </w:t>
      </w:r>
      <w:r>
        <w:rPr>
          <w:rFonts w:hint="eastAsia" w:eastAsia="Times New Roman"/>
          <w:sz w:val="20"/>
          <w:szCs w:val="20"/>
        </w:rPr>
        <w:t xml:space="preserve">provided in Table </w:t>
      </w:r>
      <w:r>
        <w:rPr>
          <w:rFonts w:hint="eastAsia" w:eastAsia="Times New Roman"/>
          <w:sz w:val="20"/>
          <w:szCs w:val="20"/>
        </w:rPr>
        <w:fldChar w:fldCharType="begin"/>
      </w:r>
      <w:r>
        <w:rPr>
          <w:rFonts w:hint="eastAsia" w:eastAsia="Times New Roman"/>
          <w:sz w:val="20"/>
          <w:szCs w:val="20"/>
        </w:rPr>
        <w:instrText xml:space="preserve"> = 8 \* ROMAN \* MERGEFORMAT </w:instrText>
      </w:r>
      <w:r>
        <w:rPr>
          <w:rFonts w:hint="eastAsia" w:eastAsia="Times New Roman"/>
          <w:sz w:val="20"/>
          <w:szCs w:val="20"/>
        </w:rPr>
        <w:fldChar w:fldCharType="separate"/>
      </w:r>
      <w:r>
        <w:rPr>
          <w:rFonts w:hint="eastAsia" w:eastAsia="Times New Roman"/>
          <w:sz w:val="20"/>
          <w:szCs w:val="20"/>
        </w:rPr>
        <w:t>VIII</w:t>
      </w:r>
      <w:r>
        <w:rPr>
          <w:rFonts w:hint="eastAsia" w:eastAsia="Times New Roman"/>
          <w:sz w:val="20"/>
          <w:szCs w:val="20"/>
        </w:rPr>
        <w:fldChar w:fldCharType="end"/>
      </w:r>
      <w:r>
        <w:rPr>
          <w:rFonts w:hint="eastAsia"/>
          <w:sz w:val="20"/>
          <w:szCs w:val="20"/>
        </w:rPr>
        <w:t xml:space="preserve"> for reference</w:t>
      </w:r>
      <w:r>
        <w:rPr>
          <w:rFonts w:hint="eastAsia" w:eastAsia="Times New Roman"/>
          <w:sz w:val="20"/>
          <w:szCs w:val="20"/>
        </w:rPr>
        <w:t xml:space="preserve">. Accordingly, if the Set B pattern of the testing data samples is different from that of the training data samples, a significant performance loss compared with the non-AI case is observed. However, if the Set B pattern of the testing data samples is included in the beam patterns of the training data samples, or the same Set B pattern is used during the AI model’s training phase and testing phase, the AI method can obtain significant performance gains over the non-AI case. </w:t>
      </w:r>
    </w:p>
    <w:p>
      <w:pPr>
        <w:snapToGrid w:val="0"/>
        <w:spacing w:before="72" w:beforeLines="30" w:after="72" w:afterLines="30" w:line="288" w:lineRule="auto"/>
        <w:jc w:val="center"/>
        <w:rPr>
          <w:rFonts w:eastAsia="Times New Roman"/>
          <w:sz w:val="20"/>
          <w:szCs w:val="20"/>
        </w:rPr>
      </w:pPr>
      <w:r>
        <w:rPr>
          <w:rFonts w:hint="eastAsia" w:eastAsia="Times New Roman"/>
          <w:sz w:val="20"/>
          <w:szCs w:val="20"/>
        </w:rPr>
        <w:t xml:space="preserve">Table </w:t>
      </w:r>
      <w:r>
        <w:rPr>
          <w:rFonts w:hint="eastAsia" w:eastAsia="Times New Roman"/>
          <w:sz w:val="20"/>
          <w:szCs w:val="20"/>
        </w:rPr>
        <w:fldChar w:fldCharType="begin"/>
      </w:r>
      <w:r>
        <w:rPr>
          <w:rFonts w:hint="eastAsia" w:eastAsia="Times New Roman"/>
          <w:sz w:val="20"/>
          <w:szCs w:val="20"/>
        </w:rPr>
        <w:instrText xml:space="preserve"> = 8 \* ROMAN \* MERGEFORMAT </w:instrText>
      </w:r>
      <w:r>
        <w:rPr>
          <w:rFonts w:hint="eastAsia" w:eastAsia="Times New Roman"/>
          <w:sz w:val="20"/>
          <w:szCs w:val="20"/>
        </w:rPr>
        <w:fldChar w:fldCharType="separate"/>
      </w:r>
      <w:r>
        <w:rPr>
          <w:rFonts w:hint="eastAsia" w:eastAsia="Times New Roman"/>
          <w:sz w:val="20"/>
          <w:szCs w:val="20"/>
        </w:rPr>
        <w:t>VIII</w:t>
      </w:r>
      <w:r>
        <w:rPr>
          <w:rFonts w:hint="eastAsia" w:eastAsia="Times New Roman"/>
          <w:sz w:val="20"/>
          <w:szCs w:val="20"/>
        </w:rPr>
        <w:fldChar w:fldCharType="end"/>
      </w:r>
      <w:r>
        <w:rPr>
          <w:rFonts w:hint="eastAsia" w:eastAsia="Times New Roman"/>
          <w:sz w:val="20"/>
          <w:szCs w:val="20"/>
        </w:rPr>
        <w:t>. Simulation results for generalization performance evaluation on different set B patterns</w:t>
      </w:r>
    </w:p>
    <w:tbl>
      <w:tblPr>
        <w:tblStyle w:val="24"/>
        <w:tblW w:w="42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170"/>
        <w:gridCol w:w="1062"/>
        <w:gridCol w:w="1190"/>
        <w:gridCol w:w="1157"/>
        <w:gridCol w:w="1114"/>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Cases</w:t>
            </w:r>
          </w:p>
        </w:tc>
        <w:tc>
          <w:tcPr>
            <w:tcW w:w="715"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Non-AI/AI</w:t>
            </w:r>
          </w:p>
        </w:tc>
        <w:tc>
          <w:tcPr>
            <w:tcW w:w="649"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27"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707"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81"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28" w:type="pct"/>
            <w:tcBorders>
              <w:left w:val="nil"/>
            </w:tcBorders>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sz w:val="20"/>
                <w:szCs w:val="20"/>
              </w:rPr>
            </w:pPr>
            <w:r>
              <w:rPr>
                <w:rFonts w:hint="eastAsia"/>
                <w:bCs/>
                <w:sz w:val="20"/>
                <w:szCs w:val="20"/>
              </w:rPr>
              <w:t>Case 1-4-2-1</w:t>
            </w:r>
          </w:p>
        </w:tc>
        <w:tc>
          <w:tcPr>
            <w:tcW w:w="715"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1.826        46.02 %        28.70 %        28.70 %        1.831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5"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0.101        97.75 %        86.74 %        99.56 %        0.222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1-4-2-2</w:t>
            </w: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2.396        39.39 %        24.93 %        24.93 %        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0.073        98.29 %        88.10 %        99.71 %        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1-4-2-3</w:t>
            </w: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1.068        58.97 %        38.21 %        38.21 %        10.342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ind w:firstLine="400" w:firstLineChars="200"/>
              <w:contextualSpacing/>
              <w:jc w:val="both"/>
              <w:rPr>
                <w:sz w:val="20"/>
                <w:szCs w:val="20"/>
              </w:rPr>
            </w:pPr>
            <w:r>
              <w:rPr>
                <w:rFonts w:hint="eastAsia"/>
                <w:sz w:val="20"/>
                <w:szCs w:val="20"/>
              </w:rPr>
              <w:t>11.818        13.33 %        8.70 %         29.52 %       5.322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1-4-2-4</w:t>
            </w: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2.351        40.80 %        24.95 %        24.95 %        2.361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0.044        99.12 %        91.33 %        99.79 %       0.144</w:t>
            </w:r>
          </w:p>
        </w:tc>
      </w:tr>
    </w:tbl>
    <w:p>
      <w:pPr>
        <w:pStyle w:val="117"/>
        <w:spacing w:before="72" w:after="72"/>
        <w:jc w:val="both"/>
        <w:rPr>
          <w:kern w:val="2"/>
          <w:sz w:val="20"/>
          <w:szCs w:val="20"/>
        </w:rPr>
      </w:pPr>
      <w:r>
        <w:rPr>
          <w:rFonts w:hint="eastAsia"/>
          <w:kern w:val="2"/>
          <w:sz w:val="20"/>
          <w:szCs w:val="20"/>
        </w:rPr>
        <w:t xml:space="preserve">For the </w:t>
      </w:r>
      <w:r>
        <w:rPr>
          <w:rFonts w:hint="eastAsia"/>
          <w:kern w:val="2"/>
          <w:sz w:val="20"/>
          <w:szCs w:val="20"/>
          <w:lang w:eastAsia="zh-CN"/>
        </w:rPr>
        <w:t xml:space="preserve">AI/ML model </w:t>
      </w:r>
      <w:r>
        <w:rPr>
          <w:rFonts w:hint="eastAsia"/>
          <w:kern w:val="2"/>
          <w:sz w:val="20"/>
          <w:szCs w:val="20"/>
        </w:rPr>
        <w:t>generalization on different Set B patterns, if the Set B pattern of the testing data samples is different from that of the training data samples, a significant performance loss compared with the non-AI case is observed.</w:t>
      </w:r>
    </w:p>
    <w:p>
      <w:pPr>
        <w:pStyle w:val="117"/>
        <w:spacing w:before="72" w:after="72"/>
        <w:jc w:val="both"/>
        <w:rPr>
          <w:kern w:val="2"/>
          <w:sz w:val="20"/>
          <w:szCs w:val="20"/>
        </w:rPr>
      </w:pPr>
      <w:r>
        <w:rPr>
          <w:rFonts w:hint="eastAsia"/>
          <w:kern w:val="2"/>
          <w:sz w:val="20"/>
          <w:szCs w:val="20"/>
        </w:rPr>
        <w:t xml:space="preserve">For the </w:t>
      </w:r>
      <w:r>
        <w:rPr>
          <w:rFonts w:hint="eastAsia"/>
          <w:kern w:val="2"/>
          <w:sz w:val="20"/>
          <w:szCs w:val="20"/>
          <w:lang w:eastAsia="zh-CN"/>
        </w:rPr>
        <w:t xml:space="preserve">AI/ML model </w:t>
      </w:r>
      <w:r>
        <w:rPr>
          <w:rFonts w:hint="eastAsia"/>
          <w:kern w:val="2"/>
          <w:sz w:val="20"/>
          <w:szCs w:val="20"/>
        </w:rPr>
        <w:t xml:space="preserve">generalization on different Set B patterns, if the Set B pattern of the testing data samples is included in the beam patterns of the training data samples, or the same Set B pattern is used during the </w:t>
      </w:r>
      <w:r>
        <w:rPr>
          <w:rFonts w:hint="eastAsia"/>
          <w:kern w:val="2"/>
          <w:sz w:val="20"/>
          <w:szCs w:val="20"/>
          <w:lang w:eastAsia="zh-CN"/>
        </w:rPr>
        <w:t xml:space="preserve">AI/ML model </w:t>
      </w:r>
      <w:r>
        <w:rPr>
          <w:rFonts w:hint="eastAsia"/>
          <w:kern w:val="2"/>
          <w:sz w:val="20"/>
          <w:szCs w:val="20"/>
        </w:rPr>
        <w:t>training phase and testing phase, the AI method obtains significant performance gains over the non-AI case.</w:t>
      </w:r>
    </w:p>
    <w:p>
      <w:pPr>
        <w:pStyle w:val="117"/>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can provide</w:t>
      </w:r>
      <w:r>
        <w:rPr>
          <w:kern w:val="2"/>
          <w:sz w:val="20"/>
          <w:szCs w:val="20"/>
        </w:rPr>
        <w:t xml:space="preserve"> a</w:t>
      </w:r>
      <w:r>
        <w:rPr>
          <w:rFonts w:hint="eastAsia"/>
          <w:kern w:val="2"/>
          <w:sz w:val="20"/>
          <w:szCs w:val="20"/>
        </w:rPr>
        <w:t xml:space="preserve"> good generalization capability on different </w:t>
      </w:r>
      <w:r>
        <w:rPr>
          <w:rFonts w:hint="eastAsia"/>
          <w:kern w:val="2"/>
          <w:sz w:val="20"/>
          <w:szCs w:val="20"/>
          <w:lang w:val="en-US" w:eastAsia="zh-CN"/>
        </w:rPr>
        <w:t>Set B</w:t>
      </w:r>
      <w:r>
        <w:rPr>
          <w:rFonts w:hint="eastAsia"/>
          <w:kern w:val="2"/>
          <w:sz w:val="20"/>
          <w:szCs w:val="20"/>
        </w:rPr>
        <w:t xml:space="preserve"> </w:t>
      </w:r>
      <w:r>
        <w:rPr>
          <w:rFonts w:hint="eastAsia"/>
          <w:kern w:val="2"/>
          <w:sz w:val="20"/>
          <w:szCs w:val="20"/>
          <w:lang w:val="en-US" w:eastAsia="zh-CN"/>
        </w:rPr>
        <w:t xml:space="preserve">patterns </w:t>
      </w:r>
      <w:r>
        <w:rPr>
          <w:rFonts w:hint="eastAsia"/>
          <w:kern w:val="2"/>
          <w:sz w:val="20"/>
          <w:szCs w:val="20"/>
        </w:rPr>
        <w:t>for Tx beam prediction</w:t>
      </w:r>
      <w:r>
        <w:rPr>
          <w:kern w:val="2"/>
          <w:sz w:val="20"/>
          <w:szCs w:val="20"/>
        </w:rPr>
        <w:t xml:space="preserve"> when the training dataset includes the data from the same setting of test</w:t>
      </w:r>
      <w:r>
        <w:rPr>
          <w:rFonts w:hint="eastAsia"/>
          <w:kern w:val="2"/>
          <w:sz w:val="20"/>
          <w:szCs w:val="20"/>
          <w:lang w:val="en-US" w:eastAsia="zh-CN"/>
        </w:rPr>
        <w:t>ing</w:t>
      </w:r>
      <w:r>
        <w:rPr>
          <w:kern w:val="2"/>
          <w:sz w:val="20"/>
          <w:szCs w:val="20"/>
        </w:rPr>
        <w:t xml:space="preserve"> data</w:t>
      </w:r>
      <w:r>
        <w:rPr>
          <w:rFonts w:hint="eastAsia"/>
          <w:kern w:val="2"/>
          <w:sz w:val="20"/>
          <w:szCs w:val="20"/>
        </w:rPr>
        <w:t>.</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Generalization on different Rx beam assumptions</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To evaluate the AI model’s generalization capability on different Rx beam assumptions, Set B pattern 1 showed in Figure </w:t>
      </w:r>
      <w:r>
        <w:rPr>
          <w:rFonts w:hint="eastAsia"/>
          <w:sz w:val="20"/>
          <w:szCs w:val="20"/>
        </w:rPr>
        <w:t>2</w:t>
      </w:r>
      <w:r>
        <w:rPr>
          <w:rFonts w:hint="eastAsia" w:eastAsia="Times New Roman"/>
          <w:sz w:val="20"/>
          <w:szCs w:val="20"/>
        </w:rPr>
        <w:t>-2 is used to generate data samples. With different Rx beam assumptions during AI</w:t>
      </w:r>
      <w:r>
        <w:rPr>
          <w:rFonts w:hint="eastAsia"/>
          <w:sz w:val="20"/>
          <w:szCs w:val="20"/>
          <w:lang w:val="en-US" w:eastAsia="zh-CN"/>
        </w:rPr>
        <w:t>/ML</w:t>
      </w:r>
      <w:r>
        <w:rPr>
          <w:rFonts w:hint="eastAsia" w:eastAsia="Times New Roman"/>
          <w:sz w:val="20"/>
          <w:szCs w:val="20"/>
        </w:rPr>
        <w:t xml:space="preserve"> model’s training phase and testing phase, the DL Tx beam prediction is conducted with the following 8 different variations of &lt;T16 R1&gt; being considered for comparison.</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1-4-3-1: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w:t>
      </w:r>
      <w:r>
        <w:rPr>
          <w:rFonts w:hint="eastAsia" w:eastAsia="Times New Roman"/>
          <w:b/>
          <w:bCs/>
          <w:sz w:val="20"/>
          <w:szCs w:val="20"/>
        </w:rPr>
        <w:t>mixed data samples</w:t>
      </w:r>
      <w:r>
        <w:rPr>
          <w:rFonts w:hint="eastAsia" w:eastAsia="Times New Roman"/>
          <w:sz w:val="20"/>
          <w:szCs w:val="20"/>
        </w:rPr>
        <w:t>, which are generated based on the optimal Rx beam</w:t>
      </w:r>
      <w:r>
        <w:rPr>
          <w:rFonts w:hint="eastAsia"/>
          <w:sz w:val="20"/>
          <w:szCs w:val="20"/>
        </w:rPr>
        <w:t xml:space="preserve"> (i.e., Rx beam assumption 3)</w:t>
      </w:r>
      <w:r>
        <w:rPr>
          <w:rFonts w:hint="eastAsia" w:eastAsia="Times New Roman"/>
          <w:sz w:val="20"/>
          <w:szCs w:val="20"/>
        </w:rPr>
        <w:t xml:space="preserve"> for each model sample or a fixed Rx beam </w:t>
      </w:r>
      <w:r>
        <w:rPr>
          <w:rFonts w:hint="eastAsia"/>
          <w:sz w:val="20"/>
          <w:szCs w:val="20"/>
        </w:rPr>
        <w:t>(i.e., Rx beam assumption 4</w:t>
      </w:r>
      <w:r>
        <w:rPr>
          <w:rFonts w:hint="eastAsia" w:eastAsia="Times New Roman"/>
          <w:sz w:val="20"/>
          <w:szCs w:val="20"/>
        </w:rPr>
        <w:t>) for all model samples</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also the </w:t>
      </w:r>
      <w:r>
        <w:rPr>
          <w:rFonts w:hint="eastAsia"/>
          <w:b/>
          <w:bCs/>
          <w:sz w:val="20"/>
          <w:szCs w:val="20"/>
        </w:rPr>
        <w:t>mixed data samples</w:t>
      </w:r>
      <w:r>
        <w:rPr>
          <w:rFonts w:hint="eastAsia"/>
          <w:sz w:val="20"/>
          <w:szCs w:val="20"/>
        </w:rPr>
        <w:t xml:space="preserve"> as mentioned above.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1-4-3-2: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the </w:t>
      </w:r>
      <w:r>
        <w:rPr>
          <w:rFonts w:hint="eastAsia" w:eastAsia="Times New Roman"/>
          <w:b/>
          <w:bCs/>
          <w:sz w:val="20"/>
          <w:szCs w:val="20"/>
        </w:rPr>
        <w:t>mixed data samples</w:t>
      </w:r>
      <w:r>
        <w:rPr>
          <w:rFonts w:hint="eastAsia" w:eastAsia="Times New Roman"/>
          <w:sz w:val="20"/>
          <w:szCs w:val="20"/>
        </w:rPr>
        <w:t>, which are generated based on the optimal Rx beam</w:t>
      </w:r>
      <w:r>
        <w:rPr>
          <w:rFonts w:hint="eastAsia"/>
          <w:sz w:val="20"/>
          <w:szCs w:val="20"/>
        </w:rPr>
        <w:t xml:space="preserve"> (i.e., Rx beam assumption 3)</w:t>
      </w:r>
      <w:r>
        <w:rPr>
          <w:rFonts w:hint="eastAsia" w:eastAsia="Times New Roman"/>
          <w:sz w:val="20"/>
          <w:szCs w:val="20"/>
        </w:rPr>
        <w:t xml:space="preserve"> for each </w:t>
      </w:r>
      <w:r>
        <w:rPr>
          <w:rFonts w:hint="eastAsia"/>
          <w:sz w:val="20"/>
          <w:szCs w:val="20"/>
          <w:lang w:eastAsia="zh-CN"/>
        </w:rPr>
        <w:t xml:space="preserve">AI/ML model </w:t>
      </w:r>
      <w:r>
        <w:rPr>
          <w:rFonts w:hint="eastAsia" w:eastAsia="Times New Roman"/>
          <w:sz w:val="20"/>
          <w:szCs w:val="20"/>
        </w:rPr>
        <w:t xml:space="preserve">sample or a fixed Rx beam </w:t>
      </w:r>
      <w:r>
        <w:rPr>
          <w:rFonts w:hint="eastAsia"/>
          <w:sz w:val="20"/>
          <w:szCs w:val="20"/>
        </w:rPr>
        <w:t>(i.e., Rx beam assumption 4</w:t>
      </w:r>
      <w:r>
        <w:rPr>
          <w:rFonts w:hint="eastAsia" w:eastAsia="Times New Roman"/>
          <w:sz w:val="20"/>
          <w:szCs w:val="20"/>
        </w:rPr>
        <w:t xml:space="preserve">) for all </w:t>
      </w:r>
      <w:r>
        <w:rPr>
          <w:rFonts w:hint="eastAsia"/>
          <w:sz w:val="20"/>
          <w:szCs w:val="20"/>
          <w:lang w:eastAsia="zh-CN"/>
        </w:rPr>
        <w:t xml:space="preserve">AI/ML model </w:t>
      </w:r>
      <w:r>
        <w:rPr>
          <w:rFonts w:hint="eastAsia" w:eastAsia="Times New Roman"/>
          <w:sz w:val="20"/>
          <w:szCs w:val="20"/>
        </w:rPr>
        <w:t>samples</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generated based on the </w:t>
      </w:r>
      <w:r>
        <w:rPr>
          <w:rFonts w:hint="eastAsia"/>
          <w:b/>
          <w:bCs/>
          <w:sz w:val="20"/>
          <w:szCs w:val="20"/>
        </w:rPr>
        <w:t>optimal Rx beam</w:t>
      </w:r>
      <w:r>
        <w:rPr>
          <w:rFonts w:hint="eastAsia"/>
          <w:sz w:val="20"/>
          <w:szCs w:val="20"/>
        </w:rPr>
        <w:t xml:space="preserve"> </w:t>
      </w:r>
      <w:r>
        <w:rPr>
          <w:rFonts w:hint="eastAsia" w:eastAsia="Times New Roman"/>
          <w:sz w:val="20"/>
          <w:szCs w:val="20"/>
        </w:rPr>
        <w:t>for each model sample</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1-4-3-3: </w:t>
      </w:r>
      <w:bookmarkStart w:id="7" w:name="OLE_LINK16"/>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the </w:t>
      </w:r>
      <w:r>
        <w:rPr>
          <w:rFonts w:hint="eastAsia" w:eastAsia="Times New Roman"/>
          <w:b/>
          <w:bCs/>
          <w:sz w:val="20"/>
          <w:szCs w:val="20"/>
        </w:rPr>
        <w:t>optimal Rx beam</w:t>
      </w:r>
      <w:r>
        <w:rPr>
          <w:rFonts w:hint="eastAsia"/>
          <w:sz w:val="20"/>
          <w:szCs w:val="20"/>
        </w:rPr>
        <w:t xml:space="preserve"> (i.e., Rx beam assumption 3)</w:t>
      </w:r>
      <w:r>
        <w:rPr>
          <w:rFonts w:hint="eastAsia" w:eastAsia="Times New Roman"/>
          <w:b/>
          <w:bCs/>
          <w:sz w:val="20"/>
          <w:szCs w:val="20"/>
        </w:rPr>
        <w:t xml:space="preserve"> </w:t>
      </w:r>
      <w:r>
        <w:rPr>
          <w:rFonts w:hint="eastAsia" w:eastAsia="Times New Roman"/>
          <w:sz w:val="20"/>
          <w:szCs w:val="20"/>
        </w:rPr>
        <w:t xml:space="preserve">for each </w:t>
      </w:r>
      <w:r>
        <w:rPr>
          <w:rFonts w:hint="eastAsia"/>
          <w:sz w:val="20"/>
          <w:szCs w:val="20"/>
          <w:lang w:eastAsia="zh-CN"/>
        </w:rPr>
        <w:t xml:space="preserve">AI/ML model </w:t>
      </w:r>
      <w:r>
        <w:rPr>
          <w:rFonts w:hint="eastAsia" w:eastAsia="Times New Roman"/>
          <w:sz w:val="20"/>
          <w:szCs w:val="20"/>
        </w:rPr>
        <w:t>sample</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w:t>
      </w:r>
      <w:r>
        <w:rPr>
          <w:rFonts w:hint="eastAsia" w:eastAsia="Times New Roman"/>
          <w:sz w:val="20"/>
          <w:szCs w:val="20"/>
        </w:rPr>
        <w:t xml:space="preserve">generated based on the </w:t>
      </w:r>
      <w:r>
        <w:rPr>
          <w:rFonts w:hint="eastAsia" w:eastAsia="Times New Roman"/>
          <w:b/>
          <w:bCs/>
          <w:sz w:val="20"/>
          <w:szCs w:val="20"/>
        </w:rPr>
        <w:t>first Rx beam on the first UE panel</w:t>
      </w:r>
      <w:r>
        <w:rPr>
          <w:rFonts w:hint="eastAsia"/>
          <w:sz w:val="20"/>
          <w:szCs w:val="20"/>
        </w:rPr>
        <w:t xml:space="preserve"> (i.e., Rx beam assumption 4)</w:t>
      </w:r>
      <w:r>
        <w:rPr>
          <w:rFonts w:hint="eastAsia" w:eastAsia="Times New Roman"/>
          <w:sz w:val="20"/>
          <w:szCs w:val="20"/>
        </w:rPr>
        <w:t xml:space="preserve"> for all </w:t>
      </w:r>
      <w:r>
        <w:rPr>
          <w:rFonts w:hint="eastAsia"/>
          <w:sz w:val="20"/>
          <w:szCs w:val="20"/>
          <w:lang w:eastAsia="zh-CN"/>
        </w:rPr>
        <w:t xml:space="preserve">AI/ML model </w:t>
      </w:r>
      <w:r>
        <w:rPr>
          <w:rFonts w:hint="eastAsia" w:eastAsia="Times New Roman"/>
          <w:sz w:val="20"/>
          <w:szCs w:val="20"/>
        </w:rPr>
        <w:t>samples</w:t>
      </w:r>
      <w:bookmarkEnd w:id="7"/>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1-4-3-4: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w:t>
      </w:r>
      <w:r>
        <w:rPr>
          <w:rFonts w:hint="eastAsia" w:eastAsia="Times New Roman"/>
          <w:b/>
          <w:bCs/>
          <w:sz w:val="20"/>
          <w:szCs w:val="20"/>
        </w:rPr>
        <w:t>optimal Rx beam</w:t>
      </w:r>
      <w:r>
        <w:rPr>
          <w:rFonts w:hint="eastAsia"/>
          <w:sz w:val="20"/>
          <w:szCs w:val="20"/>
        </w:rPr>
        <w:t xml:space="preserve"> (i.e., Rx beam assumption 3)</w:t>
      </w:r>
      <w:r>
        <w:rPr>
          <w:rFonts w:hint="eastAsia" w:eastAsia="Times New Roman"/>
          <w:b/>
          <w:bCs/>
          <w:sz w:val="20"/>
          <w:szCs w:val="20"/>
        </w:rPr>
        <w:t xml:space="preserve"> </w:t>
      </w:r>
      <w:r>
        <w:rPr>
          <w:rFonts w:hint="eastAsia" w:eastAsia="Times New Roman"/>
          <w:sz w:val="20"/>
          <w:szCs w:val="20"/>
        </w:rPr>
        <w:t xml:space="preserve">for each </w:t>
      </w:r>
      <w:r>
        <w:rPr>
          <w:rFonts w:hint="eastAsia"/>
          <w:sz w:val="20"/>
          <w:szCs w:val="20"/>
          <w:lang w:eastAsia="zh-CN"/>
        </w:rPr>
        <w:t xml:space="preserve">AI/ML model </w:t>
      </w:r>
      <w:r>
        <w:rPr>
          <w:rFonts w:hint="eastAsia" w:eastAsia="Times New Roman"/>
          <w:sz w:val="20"/>
          <w:szCs w:val="20"/>
        </w:rPr>
        <w:t>sample</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are</w:t>
      </w:r>
      <w:r>
        <w:rPr>
          <w:rFonts w:hint="eastAsia" w:eastAsia="Times New Roman"/>
          <w:sz w:val="20"/>
          <w:szCs w:val="20"/>
        </w:rPr>
        <w:t xml:space="preserve"> generated based on </w:t>
      </w:r>
      <w:r>
        <w:rPr>
          <w:rFonts w:hint="eastAsia" w:eastAsia="Times New Roman"/>
          <w:b/>
          <w:bCs/>
          <w:sz w:val="20"/>
          <w:szCs w:val="20"/>
        </w:rPr>
        <w:t>optimal Rx beam</w:t>
      </w:r>
      <w:r>
        <w:rPr>
          <w:rFonts w:hint="eastAsia"/>
          <w:sz w:val="20"/>
          <w:szCs w:val="20"/>
        </w:rPr>
        <w:t xml:space="preserve"> (i.e., Rx beam assumption 3)</w:t>
      </w:r>
      <w:r>
        <w:rPr>
          <w:rFonts w:hint="eastAsia" w:eastAsia="Times New Roman"/>
          <w:b/>
          <w:bCs/>
          <w:sz w:val="20"/>
          <w:szCs w:val="20"/>
        </w:rPr>
        <w:t xml:space="preserve"> </w:t>
      </w:r>
      <w:r>
        <w:rPr>
          <w:rFonts w:hint="eastAsia" w:eastAsia="Times New Roman"/>
          <w:sz w:val="20"/>
          <w:szCs w:val="20"/>
        </w:rPr>
        <w:t xml:space="preserve">for each </w:t>
      </w:r>
      <w:r>
        <w:rPr>
          <w:rFonts w:hint="eastAsia"/>
          <w:sz w:val="20"/>
          <w:szCs w:val="20"/>
          <w:lang w:eastAsia="zh-CN"/>
        </w:rPr>
        <w:t xml:space="preserve">AI/ML model </w:t>
      </w:r>
      <w:r>
        <w:rPr>
          <w:rFonts w:hint="eastAsia" w:eastAsia="Times New Roman"/>
          <w:sz w:val="20"/>
          <w:szCs w:val="20"/>
        </w:rPr>
        <w:t>sample</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1-4-3-5: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the </w:t>
      </w:r>
      <w:r>
        <w:rPr>
          <w:rFonts w:hint="eastAsia" w:eastAsia="Times New Roman"/>
          <w:b/>
          <w:bCs/>
          <w:sz w:val="20"/>
          <w:szCs w:val="20"/>
        </w:rPr>
        <w:t>first Rx beam on the</w:t>
      </w:r>
      <w:r>
        <w:rPr>
          <w:rFonts w:hint="eastAsia" w:eastAsia="Times New Roman"/>
          <w:sz w:val="20"/>
          <w:szCs w:val="20"/>
        </w:rPr>
        <w:t xml:space="preserve"> </w:t>
      </w:r>
      <w:r>
        <w:rPr>
          <w:rFonts w:hint="eastAsia" w:eastAsia="Times New Roman"/>
          <w:b/>
          <w:bCs/>
          <w:sz w:val="20"/>
          <w:szCs w:val="20"/>
        </w:rPr>
        <w:t>first UE panel</w:t>
      </w:r>
      <w:r>
        <w:rPr>
          <w:rFonts w:hint="eastAsia"/>
          <w:sz w:val="20"/>
          <w:szCs w:val="20"/>
        </w:rPr>
        <w:t xml:space="preserve"> (i.e., Rx beam assumption 4)</w:t>
      </w:r>
      <w:r>
        <w:rPr>
          <w:rFonts w:hint="eastAsia" w:eastAsia="Times New Roman"/>
          <w:b/>
          <w:bCs/>
          <w:sz w:val="20"/>
          <w:szCs w:val="20"/>
        </w:rPr>
        <w:t xml:space="preserve"> </w:t>
      </w:r>
      <w:r>
        <w:rPr>
          <w:rFonts w:hint="eastAsia" w:eastAsia="Times New Roman"/>
          <w:sz w:val="20"/>
          <w:szCs w:val="20"/>
        </w:rPr>
        <w:t xml:space="preserve">for all </w:t>
      </w:r>
      <w:r>
        <w:rPr>
          <w:rFonts w:hint="eastAsia"/>
          <w:sz w:val="20"/>
          <w:szCs w:val="20"/>
          <w:lang w:eastAsia="zh-CN"/>
        </w:rPr>
        <w:t xml:space="preserve">AI/ML model </w:t>
      </w:r>
      <w:r>
        <w:rPr>
          <w:rFonts w:hint="eastAsia" w:eastAsia="Times New Roman"/>
          <w:sz w:val="20"/>
          <w:szCs w:val="20"/>
        </w:rPr>
        <w:t>samples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are</w:t>
      </w:r>
      <w:r>
        <w:rPr>
          <w:rFonts w:hint="eastAsia" w:eastAsia="Times New Roman"/>
          <w:sz w:val="20"/>
          <w:szCs w:val="20"/>
        </w:rPr>
        <w:t xml:space="preserve"> generated based on the </w:t>
      </w:r>
      <w:bookmarkStart w:id="8" w:name="OLE_LINK18"/>
      <w:r>
        <w:rPr>
          <w:rFonts w:hint="eastAsia" w:eastAsia="Times New Roman"/>
          <w:b/>
          <w:bCs/>
          <w:sz w:val="20"/>
          <w:szCs w:val="20"/>
        </w:rPr>
        <w:t>first Rx beam on the</w:t>
      </w:r>
      <w:r>
        <w:rPr>
          <w:rFonts w:hint="eastAsia" w:eastAsia="Times New Roman"/>
          <w:sz w:val="20"/>
          <w:szCs w:val="20"/>
        </w:rPr>
        <w:t xml:space="preserve"> </w:t>
      </w:r>
      <w:r>
        <w:rPr>
          <w:rFonts w:hint="eastAsia" w:eastAsia="Times New Roman"/>
          <w:b/>
          <w:bCs/>
          <w:sz w:val="20"/>
          <w:szCs w:val="20"/>
        </w:rPr>
        <w:t>second UE panel</w:t>
      </w:r>
      <w:r>
        <w:rPr>
          <w:rFonts w:hint="eastAsia"/>
          <w:sz w:val="20"/>
          <w:szCs w:val="20"/>
        </w:rPr>
        <w:t xml:space="preserve"> (i.e., Rx beam assumption 4)</w:t>
      </w:r>
      <w:r>
        <w:rPr>
          <w:rFonts w:hint="eastAsia" w:eastAsia="Times New Roman"/>
          <w:sz w:val="20"/>
          <w:szCs w:val="20"/>
        </w:rPr>
        <w:t xml:space="preserve"> </w:t>
      </w:r>
      <w:bookmarkEnd w:id="8"/>
      <w:r>
        <w:rPr>
          <w:rFonts w:hint="eastAsia" w:eastAsia="Times New Roman"/>
          <w:sz w:val="20"/>
          <w:szCs w:val="20"/>
        </w:rPr>
        <w:t>for all model samples</w:t>
      </w:r>
      <w:r>
        <w:rPr>
          <w:rFonts w:hint="eastAsia"/>
          <w:sz w:val="20"/>
          <w:szCs w:val="20"/>
        </w:rPr>
        <w:t xml:space="preserve">.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1-4-3-6: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the </w:t>
      </w:r>
      <w:r>
        <w:rPr>
          <w:rFonts w:hint="eastAsia" w:eastAsia="Times New Roman"/>
          <w:b/>
          <w:bCs/>
          <w:sz w:val="20"/>
          <w:szCs w:val="20"/>
        </w:rPr>
        <w:t>first Rx beam on the</w:t>
      </w:r>
      <w:r>
        <w:rPr>
          <w:rFonts w:hint="eastAsia" w:eastAsia="Times New Roman"/>
          <w:sz w:val="20"/>
          <w:szCs w:val="20"/>
        </w:rPr>
        <w:t xml:space="preserve"> </w:t>
      </w:r>
      <w:r>
        <w:rPr>
          <w:rFonts w:hint="eastAsia" w:eastAsia="Times New Roman"/>
          <w:b/>
          <w:bCs/>
          <w:sz w:val="20"/>
          <w:szCs w:val="20"/>
        </w:rPr>
        <w:t>first UE panel</w:t>
      </w:r>
      <w:r>
        <w:rPr>
          <w:rFonts w:hint="eastAsia"/>
          <w:sz w:val="20"/>
          <w:szCs w:val="20"/>
        </w:rPr>
        <w:t xml:space="preserve"> (i.e., Rx beam assumption 4)</w:t>
      </w:r>
      <w:r>
        <w:rPr>
          <w:rFonts w:hint="eastAsia" w:eastAsia="Times New Roman"/>
          <w:sz w:val="20"/>
          <w:szCs w:val="20"/>
        </w:rPr>
        <w:t xml:space="preserve"> for all </w:t>
      </w:r>
      <w:r>
        <w:rPr>
          <w:rFonts w:hint="eastAsia"/>
          <w:sz w:val="20"/>
          <w:szCs w:val="20"/>
          <w:lang w:eastAsia="zh-CN"/>
        </w:rPr>
        <w:t xml:space="preserve">AI/ML model </w:t>
      </w:r>
      <w:r>
        <w:rPr>
          <w:rFonts w:hint="eastAsia" w:eastAsia="Times New Roman"/>
          <w:sz w:val="20"/>
          <w:szCs w:val="20"/>
        </w:rPr>
        <w:t>samples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are</w:t>
      </w:r>
      <w:r>
        <w:rPr>
          <w:rFonts w:hint="eastAsia" w:eastAsia="Times New Roman"/>
          <w:sz w:val="20"/>
          <w:szCs w:val="20"/>
        </w:rPr>
        <w:t xml:space="preserve"> generated based on the </w:t>
      </w:r>
      <w:r>
        <w:rPr>
          <w:rFonts w:hint="eastAsia" w:eastAsia="Times New Roman"/>
          <w:b/>
          <w:bCs/>
          <w:sz w:val="20"/>
          <w:szCs w:val="20"/>
        </w:rPr>
        <w:t>fourth Rx beam on the second UE panel</w:t>
      </w:r>
      <w:r>
        <w:rPr>
          <w:rFonts w:hint="eastAsia"/>
          <w:sz w:val="20"/>
          <w:szCs w:val="20"/>
        </w:rPr>
        <w:t xml:space="preserve"> (i.e., Rx beam assumption 4)</w:t>
      </w:r>
      <w:r>
        <w:rPr>
          <w:rFonts w:hint="eastAsia" w:eastAsia="Times New Roman"/>
          <w:sz w:val="20"/>
          <w:szCs w:val="20"/>
        </w:rPr>
        <w:t xml:space="preserve"> for all </w:t>
      </w:r>
      <w:r>
        <w:rPr>
          <w:rFonts w:hint="eastAsia"/>
          <w:sz w:val="20"/>
          <w:szCs w:val="20"/>
          <w:lang w:eastAsia="zh-CN"/>
        </w:rPr>
        <w:t xml:space="preserve">AI/ML model </w:t>
      </w:r>
      <w:r>
        <w:rPr>
          <w:rFonts w:hint="eastAsia" w:eastAsia="Times New Roman"/>
          <w:sz w:val="20"/>
          <w:szCs w:val="20"/>
        </w:rPr>
        <w:t>samples</w:t>
      </w:r>
      <w:r>
        <w:rPr>
          <w:rFonts w:hint="eastAsia"/>
          <w:sz w:val="20"/>
          <w:szCs w:val="20"/>
        </w:rPr>
        <w:t>.</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1-4-3-7: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the </w:t>
      </w:r>
      <w:r>
        <w:rPr>
          <w:rFonts w:hint="eastAsia" w:eastAsia="Times New Roman"/>
          <w:b/>
          <w:bCs/>
          <w:sz w:val="20"/>
          <w:szCs w:val="20"/>
        </w:rPr>
        <w:t>first Rx beam on the</w:t>
      </w:r>
      <w:r>
        <w:rPr>
          <w:rFonts w:hint="eastAsia" w:eastAsia="Times New Roman"/>
          <w:sz w:val="20"/>
          <w:szCs w:val="20"/>
        </w:rPr>
        <w:t xml:space="preserve"> </w:t>
      </w:r>
      <w:r>
        <w:rPr>
          <w:rFonts w:hint="eastAsia" w:eastAsia="Times New Roman"/>
          <w:b/>
          <w:bCs/>
          <w:sz w:val="20"/>
          <w:szCs w:val="20"/>
        </w:rPr>
        <w:t>first UE panel</w:t>
      </w:r>
      <w:r>
        <w:rPr>
          <w:rFonts w:hint="eastAsia"/>
          <w:sz w:val="20"/>
          <w:szCs w:val="20"/>
        </w:rPr>
        <w:t xml:space="preserve"> (i.e., Rx beam assumption 4)</w:t>
      </w:r>
      <w:r>
        <w:rPr>
          <w:rFonts w:hint="eastAsia" w:eastAsia="Times New Roman"/>
          <w:b/>
          <w:bCs/>
          <w:sz w:val="20"/>
          <w:szCs w:val="20"/>
        </w:rPr>
        <w:t xml:space="preserve"> </w:t>
      </w:r>
      <w:r>
        <w:rPr>
          <w:rFonts w:hint="eastAsia" w:eastAsia="Times New Roman"/>
          <w:sz w:val="20"/>
          <w:szCs w:val="20"/>
        </w:rPr>
        <w:t xml:space="preserve">for all </w:t>
      </w:r>
      <w:r>
        <w:rPr>
          <w:rFonts w:hint="eastAsia"/>
          <w:sz w:val="20"/>
          <w:szCs w:val="20"/>
          <w:lang w:eastAsia="zh-CN"/>
        </w:rPr>
        <w:t xml:space="preserve">AI/ML model </w:t>
      </w:r>
      <w:r>
        <w:rPr>
          <w:rFonts w:hint="eastAsia" w:eastAsia="Times New Roman"/>
          <w:sz w:val="20"/>
          <w:szCs w:val="20"/>
        </w:rPr>
        <w:t>samples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 xml:space="preserve">are </w:t>
      </w:r>
      <w:r>
        <w:rPr>
          <w:rFonts w:hint="eastAsia" w:eastAsia="Times New Roman"/>
          <w:sz w:val="20"/>
          <w:szCs w:val="20"/>
        </w:rPr>
        <w:t xml:space="preserve">generated based on the </w:t>
      </w:r>
      <w:r>
        <w:rPr>
          <w:rFonts w:hint="eastAsia" w:eastAsia="Times New Roman"/>
          <w:b/>
          <w:bCs/>
          <w:sz w:val="20"/>
          <w:szCs w:val="20"/>
        </w:rPr>
        <w:t>second Rx beam on the first UE panel</w:t>
      </w:r>
      <w:r>
        <w:rPr>
          <w:rFonts w:hint="eastAsia"/>
          <w:sz w:val="20"/>
          <w:szCs w:val="20"/>
        </w:rPr>
        <w:t xml:space="preserve"> (i.e., Rx beam assumption 4)</w:t>
      </w:r>
      <w:r>
        <w:rPr>
          <w:rFonts w:hint="eastAsia" w:eastAsia="Times New Roman"/>
          <w:sz w:val="20"/>
          <w:szCs w:val="20"/>
        </w:rPr>
        <w:t xml:space="preserve"> for all </w:t>
      </w:r>
      <w:r>
        <w:rPr>
          <w:rFonts w:hint="eastAsia"/>
          <w:sz w:val="20"/>
          <w:szCs w:val="20"/>
          <w:lang w:eastAsia="zh-CN"/>
        </w:rPr>
        <w:t xml:space="preserve">AI/ML model </w:t>
      </w:r>
      <w:r>
        <w:rPr>
          <w:rFonts w:hint="eastAsia" w:eastAsia="Times New Roman"/>
          <w:sz w:val="20"/>
          <w:szCs w:val="20"/>
        </w:rPr>
        <w:t>samples</w:t>
      </w:r>
      <w:r>
        <w:rPr>
          <w:rFonts w:hint="eastAsia"/>
          <w:sz w:val="20"/>
          <w:szCs w:val="20"/>
        </w:rPr>
        <w:t>.</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 xml:space="preserve">Case 1-4-3-8: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the </w:t>
      </w:r>
      <w:r>
        <w:rPr>
          <w:rFonts w:hint="eastAsia" w:eastAsia="Times New Roman"/>
          <w:b/>
          <w:bCs/>
          <w:sz w:val="20"/>
          <w:szCs w:val="20"/>
        </w:rPr>
        <w:t>first Rx beam on the</w:t>
      </w:r>
      <w:r>
        <w:rPr>
          <w:rFonts w:hint="eastAsia" w:eastAsia="Times New Roman"/>
          <w:sz w:val="20"/>
          <w:szCs w:val="20"/>
        </w:rPr>
        <w:t xml:space="preserve"> </w:t>
      </w:r>
      <w:r>
        <w:rPr>
          <w:rFonts w:hint="eastAsia" w:eastAsia="Times New Roman"/>
          <w:b/>
          <w:bCs/>
          <w:sz w:val="20"/>
          <w:szCs w:val="20"/>
        </w:rPr>
        <w:t>first UE panel</w:t>
      </w:r>
      <w:r>
        <w:rPr>
          <w:rFonts w:hint="eastAsia"/>
          <w:sz w:val="20"/>
          <w:szCs w:val="20"/>
        </w:rPr>
        <w:t xml:space="preserve"> (i.e., Rx beam assumption 4)</w:t>
      </w:r>
      <w:r>
        <w:rPr>
          <w:rFonts w:hint="eastAsia" w:eastAsia="Times New Roman"/>
          <w:sz w:val="20"/>
          <w:szCs w:val="20"/>
        </w:rPr>
        <w:t xml:space="preserve"> for all </w:t>
      </w:r>
      <w:r>
        <w:rPr>
          <w:rFonts w:hint="eastAsia"/>
          <w:sz w:val="20"/>
          <w:szCs w:val="20"/>
          <w:lang w:eastAsia="zh-CN"/>
        </w:rPr>
        <w:t xml:space="preserve">AI/ML model </w:t>
      </w:r>
      <w:r>
        <w:rPr>
          <w:rFonts w:hint="eastAsia" w:eastAsia="Times New Roman"/>
          <w:sz w:val="20"/>
          <w:szCs w:val="20"/>
        </w:rPr>
        <w:t>samples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are</w:t>
      </w:r>
      <w:r>
        <w:rPr>
          <w:rFonts w:hint="eastAsia" w:eastAsia="Times New Roman"/>
          <w:sz w:val="20"/>
          <w:szCs w:val="20"/>
        </w:rPr>
        <w:t xml:space="preserve"> generated based on the </w:t>
      </w:r>
      <w:r>
        <w:rPr>
          <w:rFonts w:hint="eastAsia" w:eastAsia="Times New Roman"/>
          <w:b/>
          <w:bCs/>
          <w:sz w:val="20"/>
          <w:szCs w:val="20"/>
        </w:rPr>
        <w:t>fourth Rx beam on the</w:t>
      </w:r>
      <w:r>
        <w:rPr>
          <w:rFonts w:hint="eastAsia" w:eastAsia="Times New Roman"/>
          <w:sz w:val="20"/>
          <w:szCs w:val="20"/>
        </w:rPr>
        <w:t xml:space="preserve"> </w:t>
      </w:r>
      <w:r>
        <w:rPr>
          <w:rFonts w:hint="eastAsia" w:eastAsia="Times New Roman"/>
          <w:b/>
          <w:bCs/>
          <w:sz w:val="20"/>
          <w:szCs w:val="20"/>
        </w:rPr>
        <w:t>first UE panel</w:t>
      </w:r>
      <w:r>
        <w:rPr>
          <w:rFonts w:hint="eastAsia"/>
          <w:sz w:val="20"/>
          <w:szCs w:val="20"/>
        </w:rPr>
        <w:t xml:space="preserve"> (i.e., Rx beam assumption 4)</w:t>
      </w:r>
      <w:r>
        <w:rPr>
          <w:rFonts w:hint="eastAsia" w:eastAsia="Times New Roman"/>
          <w:sz w:val="20"/>
          <w:szCs w:val="20"/>
        </w:rPr>
        <w:t xml:space="preserve"> for all </w:t>
      </w:r>
      <w:r>
        <w:rPr>
          <w:rFonts w:hint="eastAsia"/>
          <w:sz w:val="20"/>
          <w:szCs w:val="20"/>
          <w:lang w:eastAsia="zh-CN"/>
        </w:rPr>
        <w:t xml:space="preserve">AI/ML model </w:t>
      </w:r>
      <w:r>
        <w:rPr>
          <w:rFonts w:hint="eastAsia" w:eastAsia="Times New Roman"/>
          <w:sz w:val="20"/>
          <w:szCs w:val="20"/>
        </w:rPr>
        <w:t>samples</w:t>
      </w:r>
      <w:r>
        <w:rPr>
          <w:rFonts w:hint="eastAsia"/>
          <w:sz w:val="20"/>
          <w:szCs w:val="20"/>
        </w:rPr>
        <w:t>.</w:t>
      </w:r>
    </w:p>
    <w:p>
      <w:pPr>
        <w:snapToGrid w:val="0"/>
        <w:spacing w:before="72" w:beforeLines="30" w:after="72" w:afterLines="30" w:line="288" w:lineRule="auto"/>
        <w:jc w:val="both"/>
        <w:rPr>
          <w:rFonts w:eastAsia="Times New Roman"/>
          <w:sz w:val="20"/>
          <w:szCs w:val="20"/>
        </w:rPr>
      </w:pPr>
      <w:r>
        <w:rPr>
          <w:rFonts w:hint="eastAsia"/>
          <w:sz w:val="20"/>
          <w:szCs w:val="20"/>
        </w:rPr>
        <w:t xml:space="preserve">For the KPI calculation, the Top-1 genie-aided Tx beam is the Tx beam that results in the largest L1-RSRP over all Tx beams with specific Rx beam(s) (i.e., Option B). Detailed simulation results of the first four cases above are provided in the result collection excel [2]. Some of the </w:t>
      </w:r>
      <w:r>
        <w:rPr>
          <w:rFonts w:hint="eastAsia" w:eastAsia="Times New Roman"/>
          <w:sz w:val="20"/>
          <w:szCs w:val="20"/>
        </w:rPr>
        <w:t xml:space="preserve">simulation results are </w:t>
      </w:r>
      <w:r>
        <w:rPr>
          <w:rFonts w:hint="eastAsia"/>
          <w:sz w:val="20"/>
          <w:szCs w:val="20"/>
        </w:rPr>
        <w:t xml:space="preserve">also </w:t>
      </w:r>
      <w:r>
        <w:rPr>
          <w:rFonts w:hint="eastAsia" w:eastAsia="Times New Roman"/>
          <w:sz w:val="20"/>
          <w:szCs w:val="20"/>
        </w:rPr>
        <w:t xml:space="preserve">provided in Table </w:t>
      </w:r>
      <w:r>
        <w:rPr>
          <w:rFonts w:hint="eastAsia"/>
          <w:sz w:val="20"/>
          <w:szCs w:val="20"/>
        </w:rPr>
        <w:t>IX for reference</w:t>
      </w:r>
      <w:r>
        <w:rPr>
          <w:rFonts w:hint="eastAsia" w:eastAsia="Times New Roman"/>
          <w:sz w:val="20"/>
          <w:szCs w:val="20"/>
        </w:rPr>
        <w:t xml:space="preserve">. Accordingly, compared with the case that the training data samples and testing data samples are generated based on the same Rx beam assumption, only marginal performance loss is observed for the case of different Rx beam assumptions. Therefore, we conclude that the </w:t>
      </w:r>
      <w:r>
        <w:rPr>
          <w:rFonts w:hint="eastAsia"/>
          <w:sz w:val="20"/>
          <w:szCs w:val="20"/>
          <w:lang w:eastAsia="zh-CN"/>
        </w:rPr>
        <w:t xml:space="preserve">AI/ML model </w:t>
      </w:r>
      <w:r>
        <w:rPr>
          <w:rFonts w:hint="eastAsia" w:eastAsia="Times New Roman"/>
          <w:sz w:val="20"/>
          <w:szCs w:val="20"/>
        </w:rPr>
        <w:t xml:space="preserve">can provide good generalization capability on different Rx beam assumptions. </w:t>
      </w:r>
    </w:p>
    <w:p>
      <w:pPr>
        <w:snapToGrid w:val="0"/>
        <w:spacing w:before="72" w:beforeLines="30" w:after="72" w:afterLines="30" w:line="288" w:lineRule="auto"/>
        <w:jc w:val="center"/>
        <w:rPr>
          <w:rFonts w:eastAsia="Times New Roman"/>
          <w:sz w:val="20"/>
          <w:szCs w:val="20"/>
        </w:rPr>
      </w:pPr>
      <w:r>
        <w:rPr>
          <w:rFonts w:hint="eastAsia" w:eastAsia="Times New Roman"/>
          <w:sz w:val="20"/>
          <w:szCs w:val="20"/>
        </w:rPr>
        <w:t xml:space="preserve">Table </w:t>
      </w:r>
      <w:r>
        <w:rPr>
          <w:rFonts w:hint="eastAsia" w:eastAsia="Times New Roman"/>
          <w:sz w:val="20"/>
          <w:szCs w:val="20"/>
        </w:rPr>
        <w:fldChar w:fldCharType="begin"/>
      </w:r>
      <w:r>
        <w:rPr>
          <w:rFonts w:hint="eastAsia" w:eastAsia="Times New Roman"/>
          <w:sz w:val="20"/>
          <w:szCs w:val="20"/>
        </w:rPr>
        <w:instrText xml:space="preserve"> = 9 \* ROMAN \* MERGEFORMAT </w:instrText>
      </w:r>
      <w:r>
        <w:rPr>
          <w:rFonts w:hint="eastAsia" w:eastAsia="Times New Roman"/>
          <w:sz w:val="20"/>
          <w:szCs w:val="20"/>
        </w:rPr>
        <w:fldChar w:fldCharType="separate"/>
      </w:r>
      <w:r>
        <w:rPr>
          <w:rFonts w:hint="eastAsia" w:eastAsia="Times New Roman"/>
          <w:sz w:val="20"/>
          <w:szCs w:val="20"/>
        </w:rPr>
        <w:t>IX</w:t>
      </w:r>
      <w:r>
        <w:rPr>
          <w:rFonts w:hint="eastAsia" w:eastAsia="Times New Roman"/>
          <w:sz w:val="20"/>
          <w:szCs w:val="20"/>
        </w:rPr>
        <w:fldChar w:fldCharType="end"/>
      </w:r>
      <w:r>
        <w:rPr>
          <w:rFonts w:hint="eastAsia" w:eastAsia="Times New Roman"/>
          <w:sz w:val="20"/>
          <w:szCs w:val="20"/>
        </w:rPr>
        <w:t>.  Simulation results for generalization performance evaluation on different Rx beam assumptions</w:t>
      </w:r>
    </w:p>
    <w:tbl>
      <w:tblPr>
        <w:tblStyle w:val="24"/>
        <w:tblW w:w="43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183"/>
        <w:gridCol w:w="1154"/>
        <w:gridCol w:w="1205"/>
        <w:gridCol w:w="1205"/>
        <w:gridCol w:w="1150"/>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Align w:val="center"/>
          </w:tcPr>
          <w:p>
            <w:pPr>
              <w:widowControl w:val="0"/>
              <w:snapToGrid w:val="0"/>
              <w:spacing w:before="72" w:beforeLines="30" w:after="72" w:afterLines="30" w:line="288" w:lineRule="auto"/>
              <w:contextualSpacing/>
              <w:jc w:val="center"/>
              <w:rPr>
                <w:sz w:val="20"/>
                <w:szCs w:val="20"/>
              </w:rPr>
            </w:pPr>
            <w:r>
              <w:rPr>
                <w:sz w:val="20"/>
                <w:szCs w:val="20"/>
              </w:rPr>
              <w:t>Cases</w:t>
            </w:r>
          </w:p>
        </w:tc>
        <w:tc>
          <w:tcPr>
            <w:tcW w:w="709" w:type="pct"/>
            <w:vAlign w:val="center"/>
          </w:tcPr>
          <w:p>
            <w:pPr>
              <w:widowControl w:val="0"/>
              <w:snapToGrid w:val="0"/>
              <w:spacing w:before="72" w:beforeLines="30" w:after="72" w:afterLines="30" w:line="288" w:lineRule="auto"/>
              <w:contextualSpacing/>
              <w:jc w:val="center"/>
              <w:rPr>
                <w:sz w:val="20"/>
                <w:szCs w:val="20"/>
              </w:rPr>
            </w:pPr>
            <w:r>
              <w:rPr>
                <w:sz w:val="20"/>
                <w:szCs w:val="20"/>
              </w:rPr>
              <w:t>Non-AI/AI</w:t>
            </w:r>
          </w:p>
        </w:tc>
        <w:tc>
          <w:tcPr>
            <w:tcW w:w="692"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23"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723"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90"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Top-5 beams</w:t>
            </w:r>
          </w:p>
        </w:tc>
        <w:tc>
          <w:tcPr>
            <w:tcW w:w="690" w:type="pct"/>
            <w:tcBorders>
              <w:lef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restart"/>
            <w:vAlign w:val="center"/>
          </w:tcPr>
          <w:p>
            <w:pPr>
              <w:widowControl w:val="0"/>
              <w:snapToGrid w:val="0"/>
              <w:spacing w:before="72" w:beforeLines="30" w:after="72" w:afterLines="30" w:line="288" w:lineRule="auto"/>
              <w:contextualSpacing/>
              <w:jc w:val="center"/>
              <w:rPr>
                <w:sz w:val="20"/>
                <w:szCs w:val="20"/>
              </w:rPr>
            </w:pPr>
            <w:r>
              <w:rPr>
                <w:bCs/>
                <w:sz w:val="20"/>
                <w:szCs w:val="20"/>
              </w:rPr>
              <w:t>Case 1-4-3-1</w:t>
            </w:r>
          </w:p>
        </w:tc>
        <w:tc>
          <w:tcPr>
            <w:tcW w:w="709" w:type="pct"/>
            <w:vAlign w:val="center"/>
          </w:tcPr>
          <w:p>
            <w:pPr>
              <w:widowControl w:val="0"/>
              <w:snapToGrid w:val="0"/>
              <w:spacing w:before="72" w:beforeLines="30" w:after="72" w:afterLines="30" w:line="288" w:lineRule="auto"/>
              <w:contextualSpacing/>
              <w:jc w:val="center"/>
              <w:rPr>
                <w:sz w:val="20"/>
                <w:szCs w:val="20"/>
              </w:rPr>
            </w:pPr>
            <w:r>
              <w:rPr>
                <w:sz w:val="20"/>
                <w:szCs w:val="20"/>
              </w:rPr>
              <w:t>Non-AI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2.183        41.43 %        25.05 %        25.05 %        2.181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09" w:type="pct"/>
            <w:vAlign w:val="center"/>
          </w:tcPr>
          <w:p>
            <w:pPr>
              <w:widowControl w:val="0"/>
              <w:snapToGrid w:val="0"/>
              <w:spacing w:before="72" w:beforeLines="30" w:after="72" w:afterLines="30" w:line="288" w:lineRule="auto"/>
              <w:contextualSpacing/>
              <w:jc w:val="center"/>
              <w:rPr>
                <w:sz w:val="20"/>
                <w:szCs w:val="20"/>
              </w:rPr>
            </w:pPr>
            <w:r>
              <w:rPr>
                <w:sz w:val="20"/>
                <w:szCs w:val="20"/>
              </w:rPr>
              <w:t>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0.107        97.33 %        86.50 %        99.26 %        0.203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restart"/>
            <w:vAlign w:val="center"/>
          </w:tcPr>
          <w:p>
            <w:pPr>
              <w:widowControl w:val="0"/>
              <w:snapToGrid w:val="0"/>
              <w:spacing w:before="72" w:beforeLines="30" w:after="72" w:afterLines="30" w:line="288" w:lineRule="auto"/>
              <w:contextualSpacing/>
              <w:jc w:val="center"/>
              <w:rPr>
                <w:bCs/>
                <w:sz w:val="20"/>
                <w:szCs w:val="20"/>
              </w:rPr>
            </w:pPr>
            <w:r>
              <w:rPr>
                <w:bCs/>
                <w:sz w:val="20"/>
                <w:szCs w:val="20"/>
              </w:rPr>
              <w:t>Case 1-4-3-2</w:t>
            </w: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2.422        39.92 %        24.91 %        24.91 %        2.435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0.054        98.80 %        90.46 %        99.83 %        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restart"/>
            <w:vAlign w:val="center"/>
          </w:tcPr>
          <w:p>
            <w:pPr>
              <w:widowControl w:val="0"/>
              <w:snapToGrid w:val="0"/>
              <w:spacing w:before="72" w:beforeLines="30" w:after="72" w:afterLines="30" w:line="288" w:lineRule="auto"/>
              <w:contextualSpacing/>
              <w:jc w:val="center"/>
              <w:rPr>
                <w:bCs/>
                <w:sz w:val="20"/>
                <w:szCs w:val="20"/>
              </w:rPr>
            </w:pPr>
            <w:r>
              <w:rPr>
                <w:bCs/>
                <w:sz w:val="20"/>
                <w:szCs w:val="20"/>
              </w:rPr>
              <w:t>Case 1-4-3-3</w:t>
            </w: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2.138        42.74 %        24.11 %        24.11 %        2.161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0.230        94.46 %        80.91 %        97.50 %        0.276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restart"/>
            <w:vAlign w:val="center"/>
          </w:tcPr>
          <w:p>
            <w:pPr>
              <w:widowControl w:val="0"/>
              <w:snapToGrid w:val="0"/>
              <w:spacing w:before="72" w:beforeLines="30" w:after="72" w:afterLines="30" w:line="288" w:lineRule="auto"/>
              <w:contextualSpacing/>
              <w:jc w:val="center"/>
              <w:rPr>
                <w:bCs/>
                <w:sz w:val="20"/>
                <w:szCs w:val="20"/>
              </w:rPr>
            </w:pPr>
            <w:r>
              <w:rPr>
                <w:bCs/>
                <w:sz w:val="20"/>
                <w:szCs w:val="20"/>
              </w:rPr>
              <w:t>Case 1-4-3-4</w:t>
            </w: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2.395        40.46 %        24.90 %        24.90 %        2.383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0.053        98.90 %        90.88 %        99.68 %        0.145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restart"/>
            <w:vAlign w:val="center"/>
          </w:tcPr>
          <w:p>
            <w:pPr>
              <w:widowControl w:val="0"/>
              <w:snapToGrid w:val="0"/>
              <w:spacing w:before="72" w:beforeLines="30" w:after="72" w:afterLines="30" w:line="288" w:lineRule="auto"/>
              <w:contextualSpacing/>
              <w:jc w:val="center"/>
              <w:rPr>
                <w:bCs/>
                <w:sz w:val="20"/>
                <w:szCs w:val="20"/>
                <w:highlight w:val="yellow"/>
                <w:lang w:eastAsia="en-US"/>
              </w:rPr>
            </w:pPr>
            <w:r>
              <w:rPr>
                <w:bCs/>
                <w:sz w:val="20"/>
                <w:szCs w:val="20"/>
              </w:rPr>
              <w:t>Case 1-4-3-5</w:t>
            </w: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2.069        44.27 %        25.89 %        25.89 %        2.073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continue"/>
            <w:vAlign w:val="center"/>
          </w:tcPr>
          <w:p>
            <w:pPr>
              <w:widowControl w:val="0"/>
              <w:snapToGrid w:val="0"/>
              <w:spacing w:before="72" w:beforeLines="30" w:after="72" w:afterLines="30" w:line="288" w:lineRule="auto"/>
              <w:contextualSpacing/>
              <w:jc w:val="center"/>
              <w:rPr>
                <w:bCs/>
                <w:sz w:val="20"/>
                <w:szCs w:val="20"/>
                <w:highlight w:val="yellow"/>
                <w:lang w:eastAsia="en-US"/>
              </w:rPr>
            </w:pP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0.133        96.32 %        83.05 %        98.72 %        0.245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restart"/>
            <w:vAlign w:val="center"/>
          </w:tcPr>
          <w:p>
            <w:pPr>
              <w:widowControl w:val="0"/>
              <w:snapToGrid w:val="0"/>
              <w:spacing w:before="72" w:beforeLines="30" w:after="72" w:afterLines="30" w:line="288" w:lineRule="auto"/>
              <w:contextualSpacing/>
              <w:jc w:val="center"/>
              <w:rPr>
                <w:bCs/>
                <w:sz w:val="20"/>
                <w:szCs w:val="20"/>
                <w:highlight w:val="yellow"/>
                <w:lang w:eastAsia="en-US"/>
              </w:rPr>
            </w:pPr>
            <w:r>
              <w:rPr>
                <w:bCs/>
                <w:sz w:val="20"/>
                <w:szCs w:val="20"/>
              </w:rPr>
              <w:t>Case 1-4-3-6</w:t>
            </w: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2.084        43.58 %        25.01 %        25.01 %        2.080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continue"/>
            <w:vAlign w:val="center"/>
          </w:tcPr>
          <w:p>
            <w:pPr>
              <w:widowControl w:val="0"/>
              <w:snapToGrid w:val="0"/>
              <w:spacing w:before="72" w:beforeLines="30" w:after="72" w:afterLines="30" w:line="288" w:lineRule="auto"/>
              <w:contextualSpacing/>
              <w:jc w:val="center"/>
              <w:rPr>
                <w:bCs/>
                <w:sz w:val="20"/>
                <w:szCs w:val="20"/>
                <w:highlight w:val="yellow"/>
                <w:lang w:eastAsia="en-US"/>
              </w:rPr>
            </w:pP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0.123        97.01 %        83.10 %        98.86 %        0.259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restart"/>
            <w:vAlign w:val="center"/>
          </w:tcPr>
          <w:p>
            <w:pPr>
              <w:widowControl w:val="0"/>
              <w:snapToGrid w:val="0"/>
              <w:spacing w:before="72" w:beforeLines="30" w:after="72" w:afterLines="30" w:line="288" w:lineRule="auto"/>
              <w:contextualSpacing/>
              <w:jc w:val="center"/>
              <w:rPr>
                <w:bCs/>
                <w:sz w:val="20"/>
                <w:szCs w:val="20"/>
                <w:highlight w:val="yellow"/>
                <w:lang w:eastAsia="en-US"/>
              </w:rPr>
            </w:pPr>
            <w:r>
              <w:rPr>
                <w:bCs/>
                <w:sz w:val="20"/>
                <w:szCs w:val="20"/>
              </w:rPr>
              <w:t>Case 1-4-3-7</w:t>
            </w: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2.081        44.32 %        25.50 %        25.50 %        2.087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continue"/>
            <w:vAlign w:val="center"/>
          </w:tcPr>
          <w:p>
            <w:pPr>
              <w:widowControl w:val="0"/>
              <w:snapToGrid w:val="0"/>
              <w:spacing w:before="72" w:beforeLines="30" w:after="72" w:afterLines="30" w:line="288" w:lineRule="auto"/>
              <w:contextualSpacing/>
              <w:jc w:val="center"/>
              <w:rPr>
                <w:bCs/>
                <w:sz w:val="20"/>
                <w:szCs w:val="20"/>
                <w:highlight w:val="yellow"/>
                <w:lang w:eastAsia="en-US"/>
              </w:rPr>
            </w:pP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0.179        95.50 %        80.53 %        98.36 %        0.282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restart"/>
            <w:vAlign w:val="center"/>
          </w:tcPr>
          <w:p>
            <w:pPr>
              <w:widowControl w:val="0"/>
              <w:snapToGrid w:val="0"/>
              <w:spacing w:before="72" w:beforeLines="30" w:after="72" w:afterLines="30" w:line="288" w:lineRule="auto"/>
              <w:contextualSpacing/>
              <w:jc w:val="center"/>
              <w:rPr>
                <w:bCs/>
                <w:kern w:val="2"/>
                <w:sz w:val="20"/>
                <w:szCs w:val="20"/>
                <w:highlight w:val="yellow"/>
                <w:lang w:eastAsia="en-US"/>
              </w:rPr>
            </w:pPr>
            <w:r>
              <w:rPr>
                <w:bCs/>
                <w:sz w:val="20"/>
                <w:szCs w:val="20"/>
              </w:rPr>
              <w:t>Case 1-4-3-8</w:t>
            </w: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Non-AI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2.089        43.31 %        25.20 %        25.20 %        2.088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6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09" w:type="pct"/>
            <w:vAlign w:val="center"/>
          </w:tcPr>
          <w:p>
            <w:pPr>
              <w:widowControl w:val="0"/>
              <w:snapToGrid w:val="0"/>
              <w:spacing w:before="72" w:beforeLines="30" w:after="72" w:afterLines="30" w:line="288" w:lineRule="auto"/>
              <w:contextualSpacing/>
              <w:jc w:val="center"/>
              <w:rPr>
                <w:kern w:val="2"/>
                <w:sz w:val="20"/>
                <w:szCs w:val="20"/>
              </w:rPr>
            </w:pPr>
            <w:r>
              <w:rPr>
                <w:sz w:val="20"/>
                <w:szCs w:val="20"/>
              </w:rPr>
              <w:t>AI</w:t>
            </w:r>
          </w:p>
        </w:tc>
        <w:tc>
          <w:tcPr>
            <w:tcW w:w="3520" w:type="pct"/>
            <w:gridSpan w:val="5"/>
            <w:vAlign w:val="center"/>
          </w:tcPr>
          <w:p>
            <w:pPr>
              <w:widowControl w:val="0"/>
              <w:snapToGrid w:val="0"/>
              <w:spacing w:before="72" w:beforeLines="30" w:after="72" w:afterLines="30" w:line="288" w:lineRule="auto"/>
              <w:contextualSpacing/>
              <w:jc w:val="center"/>
              <w:rPr>
                <w:sz w:val="20"/>
                <w:szCs w:val="20"/>
              </w:rPr>
            </w:pPr>
            <w:r>
              <w:rPr>
                <w:sz w:val="20"/>
                <w:szCs w:val="20"/>
              </w:rPr>
              <w:t>0.150        96.32 %        82.88 %        98.51 %        0.269</w:t>
            </w:r>
          </w:p>
        </w:tc>
      </w:tr>
    </w:tbl>
    <w:p>
      <w:pPr>
        <w:pStyle w:val="117"/>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 xml:space="preserve">generalization on different Rx beam assumptions for Tx beam prediction, compared with the case that the training data samples and testing data samples are generated based on the same Rx beam assumption, only marginal performance loss is observed for the case of different Rx beam assumptions on </w:t>
      </w:r>
      <w:r>
        <w:rPr>
          <w:rFonts w:hint="eastAsia"/>
          <w:kern w:val="2"/>
          <w:sz w:val="20"/>
          <w:szCs w:val="20"/>
          <w:lang w:eastAsia="zh-CN"/>
        </w:rPr>
        <w:t xml:space="preserve">AI/ML model </w:t>
      </w:r>
      <w:r>
        <w:rPr>
          <w:rFonts w:hint="eastAsia"/>
          <w:kern w:val="2"/>
          <w:sz w:val="20"/>
          <w:szCs w:val="20"/>
        </w:rPr>
        <w:t xml:space="preserve">training and </w:t>
      </w:r>
      <w:r>
        <w:rPr>
          <w:rFonts w:hint="eastAsia"/>
          <w:kern w:val="2"/>
          <w:sz w:val="20"/>
          <w:szCs w:val="20"/>
          <w:lang w:eastAsia="zh-CN"/>
        </w:rPr>
        <w:t xml:space="preserve">AI/ML model </w:t>
      </w:r>
      <w:r>
        <w:rPr>
          <w:rFonts w:hint="eastAsia"/>
          <w:kern w:val="2"/>
          <w:sz w:val="20"/>
          <w:szCs w:val="20"/>
        </w:rPr>
        <w:t xml:space="preserve">testing. </w:t>
      </w:r>
    </w:p>
    <w:p>
      <w:pPr>
        <w:pStyle w:val="117"/>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good generalization capability on different Rx beam assumptions for Tx beam prediction. </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Generalization on different gNB settings</w:t>
      </w:r>
    </w:p>
    <w:p>
      <w:pPr>
        <w:snapToGrid w:val="0"/>
        <w:spacing w:before="72" w:beforeLines="30" w:after="72" w:afterLines="30" w:line="288" w:lineRule="auto"/>
        <w:jc w:val="both"/>
        <w:rPr>
          <w:rFonts w:eastAsia="Times New Roman"/>
          <w:sz w:val="20"/>
          <w:szCs w:val="20"/>
        </w:rPr>
      </w:pPr>
      <w:bookmarkStart w:id="9" w:name="OLE_LINK21"/>
      <w:r>
        <w:rPr>
          <w:rFonts w:hint="eastAsia" w:eastAsia="Times New Roman"/>
          <w:sz w:val="20"/>
          <w:szCs w:val="20"/>
        </w:rPr>
        <w:t xml:space="preserve">To evaluate the AI model’s generalization capability on different gNB settings, two different gNB beam structures are used to generate data samples. For the first gNB beam structure, there are 16 beams in horizontal and 4 beams in vertical, denoted as </w:t>
      </w:r>
      <w:r>
        <w:rPr>
          <w:rFonts w:hint="eastAsia" w:eastAsia="Times New Roman"/>
          <w:b/>
          <w:bCs/>
          <w:sz w:val="20"/>
          <w:szCs w:val="20"/>
        </w:rPr>
        <w:t>H16V4</w:t>
      </w:r>
      <w:r>
        <w:rPr>
          <w:rFonts w:hint="eastAsia" w:eastAsia="Times New Roman"/>
          <w:sz w:val="20"/>
          <w:szCs w:val="20"/>
        </w:rPr>
        <w:t xml:space="preserve"> for simplicity. For the second gNB beam structure, there are 8 beams in horizontal and 8 beams in vertical, denoted as </w:t>
      </w:r>
      <w:r>
        <w:rPr>
          <w:rFonts w:hint="eastAsia" w:eastAsia="Times New Roman"/>
          <w:b/>
          <w:bCs/>
          <w:sz w:val="20"/>
          <w:szCs w:val="20"/>
        </w:rPr>
        <w:t>H8V8</w:t>
      </w:r>
      <w:r>
        <w:rPr>
          <w:rFonts w:hint="eastAsia" w:eastAsia="Times New Roman"/>
          <w:sz w:val="20"/>
          <w:szCs w:val="20"/>
        </w:rPr>
        <w:t xml:space="preserve"> for simplicity. With different gNB beam structures during the </w:t>
      </w:r>
      <w:r>
        <w:rPr>
          <w:rFonts w:hint="eastAsia"/>
          <w:sz w:val="20"/>
          <w:szCs w:val="20"/>
          <w:lang w:eastAsia="zh-CN"/>
        </w:rPr>
        <w:t xml:space="preserve">AI/ML model </w:t>
      </w:r>
      <w:r>
        <w:rPr>
          <w:rFonts w:hint="eastAsia" w:eastAsia="Times New Roman"/>
          <w:sz w:val="20"/>
          <w:szCs w:val="20"/>
        </w:rPr>
        <w:t xml:space="preserve">training phase and testing phase, the DL Tx beam prediction is conducted </w:t>
      </w:r>
      <w:r>
        <w:rPr>
          <w:rFonts w:hint="eastAsia"/>
          <w:sz w:val="20"/>
          <w:szCs w:val="20"/>
        </w:rPr>
        <w:t xml:space="preserve">and </w:t>
      </w:r>
      <w:r>
        <w:rPr>
          <w:rFonts w:hint="eastAsia" w:eastAsia="Times New Roman"/>
          <w:sz w:val="20"/>
          <w:szCs w:val="20"/>
        </w:rPr>
        <w:t xml:space="preserve">the following 4 variations of &lt;T16 R1&gt; </w:t>
      </w:r>
      <w:r>
        <w:rPr>
          <w:rFonts w:hint="eastAsia"/>
          <w:sz w:val="20"/>
          <w:szCs w:val="20"/>
        </w:rPr>
        <w:t>d</w:t>
      </w:r>
      <w:r>
        <w:rPr>
          <w:rFonts w:hint="eastAsia" w:eastAsia="Times New Roman"/>
          <w:sz w:val="20"/>
          <w:szCs w:val="20"/>
        </w:rPr>
        <w:t>e</w:t>
      </w:r>
      <w:r>
        <w:rPr>
          <w:rFonts w:hint="eastAsia"/>
          <w:sz w:val="20"/>
          <w:szCs w:val="20"/>
        </w:rPr>
        <w:t>s</w:t>
      </w:r>
      <w:r>
        <w:rPr>
          <w:rFonts w:hint="eastAsia" w:eastAsia="Times New Roman"/>
          <w:sz w:val="20"/>
          <w:szCs w:val="20"/>
        </w:rPr>
        <w:t>ign</w:t>
      </w:r>
      <w:r>
        <w:rPr>
          <w:rFonts w:hint="eastAsia"/>
          <w:sz w:val="20"/>
          <w:szCs w:val="20"/>
        </w:rPr>
        <w:t xml:space="preserve"> with the optimal Rx beam (i.e., Rx beam assumption 3) are </w:t>
      </w:r>
      <w:r>
        <w:rPr>
          <w:rFonts w:hint="eastAsia" w:eastAsia="Times New Roman"/>
          <w:sz w:val="20"/>
          <w:szCs w:val="20"/>
        </w:rPr>
        <w:t>considered.</w:t>
      </w:r>
    </w:p>
    <w:p>
      <w:pPr>
        <w:numPr>
          <w:ilvl w:val="0"/>
          <w:numId w:val="11"/>
        </w:numPr>
        <w:snapToGrid w:val="0"/>
        <w:spacing w:before="72" w:beforeLines="30" w:after="72" w:afterLines="30" w:line="288" w:lineRule="auto"/>
        <w:jc w:val="both"/>
        <w:rPr>
          <w:rFonts w:eastAsia="Times New Roman"/>
          <w:sz w:val="20"/>
          <w:szCs w:val="20"/>
        </w:rPr>
      </w:pPr>
      <w:bookmarkStart w:id="10" w:name="OLE_LINK20"/>
      <w:r>
        <w:rPr>
          <w:rFonts w:hint="eastAsia" w:eastAsia="Times New Roman"/>
          <w:b/>
          <w:bCs/>
          <w:sz w:val="20"/>
          <w:szCs w:val="20"/>
        </w:rPr>
        <w:t xml:space="preserve">Case 1-4-4-1: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w:t>
      </w:r>
      <w:r>
        <w:rPr>
          <w:rFonts w:hint="eastAsia" w:eastAsia="Times New Roman"/>
          <w:b/>
          <w:bCs/>
          <w:sz w:val="20"/>
          <w:szCs w:val="20"/>
        </w:rPr>
        <w:t>mixed data samples</w:t>
      </w:r>
      <w:r>
        <w:rPr>
          <w:rFonts w:hint="eastAsia" w:eastAsia="Times New Roman"/>
          <w:sz w:val="20"/>
          <w:szCs w:val="20"/>
        </w:rPr>
        <w:t xml:space="preserve">, which are generated based on the two different gNB beam </w:t>
      </w:r>
      <w:r>
        <w:rPr>
          <w:rFonts w:hint="eastAsia" w:eastAsia="宋体"/>
          <w:sz w:val="20"/>
          <w:szCs w:val="20"/>
          <w:lang w:val="en-US" w:eastAsia="zh-CN"/>
        </w:rPr>
        <w:t xml:space="preserve">layouts </w:t>
      </w:r>
      <w:r>
        <w:rPr>
          <w:rFonts w:hint="eastAsia" w:eastAsia="Times New Roman"/>
          <w:sz w:val="20"/>
          <w:szCs w:val="20"/>
        </w:rPr>
        <w:t>of H16V4 and H8V8</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 xml:space="preserve">are also the </w:t>
      </w:r>
      <w:r>
        <w:rPr>
          <w:rFonts w:hint="eastAsia"/>
          <w:b/>
          <w:bCs/>
          <w:sz w:val="20"/>
          <w:szCs w:val="20"/>
        </w:rPr>
        <w:t>mixed data samples</w:t>
      </w:r>
      <w:r>
        <w:rPr>
          <w:rFonts w:hint="eastAsia"/>
          <w:sz w:val="20"/>
          <w:szCs w:val="20"/>
        </w:rPr>
        <w:t xml:space="preserve"> as mentioned above. </w:t>
      </w:r>
    </w:p>
    <w:bookmarkEnd w:id="10"/>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1-4-4-2: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w:t>
      </w:r>
      <w:r>
        <w:rPr>
          <w:rFonts w:hint="eastAsia" w:eastAsia="Times New Roman"/>
          <w:b/>
          <w:bCs/>
          <w:sz w:val="20"/>
          <w:szCs w:val="20"/>
        </w:rPr>
        <w:t>mixed data samples</w:t>
      </w:r>
      <w:r>
        <w:rPr>
          <w:rFonts w:hint="eastAsia" w:eastAsia="Times New Roman"/>
          <w:sz w:val="20"/>
          <w:szCs w:val="20"/>
        </w:rPr>
        <w:t>, which are generated based on the two different gNB beam structures of H16V4 and H8V8</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are generated based on the gNB beam structure of</w:t>
      </w:r>
      <w:r>
        <w:rPr>
          <w:rFonts w:hint="eastAsia"/>
          <w:b/>
          <w:bCs/>
          <w:sz w:val="20"/>
          <w:szCs w:val="20"/>
        </w:rPr>
        <w:t xml:space="preserve"> H16V4.</w:t>
      </w:r>
      <w:r>
        <w:rPr>
          <w:rFonts w:hint="eastAsia"/>
          <w:sz w:val="20"/>
          <w:szCs w:val="20"/>
        </w:rPr>
        <w:t xml:space="preserve">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1-4-4-3: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the gNB beam structures of </w:t>
      </w:r>
      <w:r>
        <w:rPr>
          <w:rFonts w:hint="eastAsia" w:eastAsia="Times New Roman"/>
          <w:b/>
          <w:bCs/>
          <w:sz w:val="20"/>
          <w:szCs w:val="20"/>
        </w:rPr>
        <w:t>H16V4</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are generated based on the gNB beam structure of</w:t>
      </w:r>
      <w:r>
        <w:rPr>
          <w:rFonts w:hint="eastAsia"/>
          <w:b/>
          <w:bCs/>
          <w:sz w:val="20"/>
          <w:szCs w:val="20"/>
        </w:rPr>
        <w:t xml:space="preserve"> H8V8.</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1-4-4-4: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the gNB beam structures of </w:t>
      </w:r>
      <w:r>
        <w:rPr>
          <w:rFonts w:hint="eastAsia" w:eastAsia="Times New Roman"/>
          <w:b/>
          <w:bCs/>
          <w:sz w:val="20"/>
          <w:szCs w:val="20"/>
        </w:rPr>
        <w:t>H16V4</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are generated based on the gNB beam structure of</w:t>
      </w:r>
      <w:r>
        <w:rPr>
          <w:rFonts w:hint="eastAsia"/>
          <w:b/>
          <w:bCs/>
          <w:sz w:val="20"/>
          <w:szCs w:val="20"/>
        </w:rPr>
        <w:t xml:space="preserve"> H16V4.</w:t>
      </w:r>
    </w:p>
    <w:p>
      <w:pPr>
        <w:snapToGrid w:val="0"/>
        <w:spacing w:before="72" w:beforeLines="30" w:after="72" w:afterLines="30" w:line="288" w:lineRule="auto"/>
        <w:jc w:val="both"/>
        <w:rPr>
          <w:rFonts w:eastAsia="Times New Roman"/>
          <w:sz w:val="20"/>
          <w:szCs w:val="20"/>
        </w:rPr>
      </w:pPr>
      <w:r>
        <w:rPr>
          <w:rFonts w:hint="eastAsia"/>
          <w:sz w:val="20"/>
          <w:szCs w:val="20"/>
        </w:rPr>
        <w:t xml:space="preserve">Detailed simulation results of the above four cases are provided in the result collection excel [2]. Some of the </w:t>
      </w:r>
      <w:r>
        <w:rPr>
          <w:rFonts w:hint="eastAsia" w:eastAsia="Times New Roman"/>
          <w:sz w:val="20"/>
          <w:szCs w:val="20"/>
        </w:rPr>
        <w:t xml:space="preserve">simulation results are </w:t>
      </w:r>
      <w:r>
        <w:rPr>
          <w:rFonts w:hint="eastAsia"/>
          <w:sz w:val="20"/>
          <w:szCs w:val="20"/>
        </w:rPr>
        <w:t xml:space="preserve">also </w:t>
      </w:r>
      <w:r>
        <w:rPr>
          <w:rFonts w:hint="eastAsia" w:eastAsia="Times New Roman"/>
          <w:sz w:val="20"/>
          <w:szCs w:val="20"/>
        </w:rPr>
        <w:t xml:space="preserve">provided in Table </w:t>
      </w:r>
      <w:r>
        <w:rPr>
          <w:rFonts w:hint="eastAsia"/>
          <w:sz w:val="20"/>
          <w:szCs w:val="20"/>
        </w:rPr>
        <w:t>X for reference</w:t>
      </w:r>
      <w:r>
        <w:rPr>
          <w:rFonts w:hint="eastAsia" w:eastAsia="Times New Roman"/>
          <w:sz w:val="20"/>
          <w:szCs w:val="20"/>
        </w:rPr>
        <w:t xml:space="preserve">. Accordingly, a significant performance loss is observed if the training data samples and testing data samples are generated under different gNB beam structures. Compared with the case that the same gNB beam structure is used for the </w:t>
      </w:r>
      <w:r>
        <w:rPr>
          <w:rFonts w:hint="eastAsia"/>
          <w:sz w:val="20"/>
          <w:szCs w:val="20"/>
          <w:lang w:eastAsia="zh-CN"/>
        </w:rPr>
        <w:t xml:space="preserve">AI/ML model </w:t>
      </w:r>
      <w:r>
        <w:rPr>
          <w:rFonts w:hint="eastAsia" w:eastAsia="Times New Roman"/>
          <w:sz w:val="20"/>
          <w:szCs w:val="20"/>
        </w:rPr>
        <w:t xml:space="preserve">training and testing, only marginal performance loss is observed if the training data samples of the </w:t>
      </w:r>
      <w:r>
        <w:rPr>
          <w:rFonts w:hint="eastAsia"/>
          <w:sz w:val="20"/>
          <w:szCs w:val="20"/>
          <w:lang w:eastAsia="zh-CN"/>
        </w:rPr>
        <w:t xml:space="preserve">AI/ML model </w:t>
      </w:r>
      <w:r>
        <w:rPr>
          <w:rFonts w:hint="eastAsia" w:eastAsia="Times New Roman"/>
          <w:sz w:val="20"/>
          <w:szCs w:val="20"/>
        </w:rPr>
        <w:t xml:space="preserve">are mixed data samples. </w:t>
      </w:r>
    </w:p>
    <w:bookmarkEnd w:id="9"/>
    <w:p>
      <w:pPr>
        <w:snapToGrid w:val="0"/>
        <w:spacing w:before="72" w:beforeLines="30" w:after="72" w:afterLines="30" w:line="288" w:lineRule="auto"/>
        <w:jc w:val="center"/>
        <w:rPr>
          <w:rFonts w:eastAsia="Times New Roman"/>
          <w:sz w:val="20"/>
          <w:szCs w:val="20"/>
        </w:rPr>
      </w:pPr>
      <w:r>
        <w:rPr>
          <w:rFonts w:hint="eastAsia" w:eastAsia="Times New Roman"/>
          <w:sz w:val="20"/>
          <w:szCs w:val="20"/>
        </w:rPr>
        <w:t xml:space="preserve">Table </w:t>
      </w:r>
      <w:r>
        <w:rPr>
          <w:rFonts w:hint="eastAsia" w:eastAsia="Times New Roman"/>
          <w:sz w:val="20"/>
          <w:szCs w:val="20"/>
        </w:rPr>
        <w:fldChar w:fldCharType="begin"/>
      </w:r>
      <w:r>
        <w:rPr>
          <w:rFonts w:hint="eastAsia" w:eastAsia="Times New Roman"/>
          <w:sz w:val="20"/>
          <w:szCs w:val="20"/>
        </w:rPr>
        <w:instrText xml:space="preserve"> = 10 \* ROMAN \* MERGEFORMAT </w:instrText>
      </w:r>
      <w:r>
        <w:rPr>
          <w:rFonts w:hint="eastAsia" w:eastAsia="Times New Roman"/>
          <w:sz w:val="20"/>
          <w:szCs w:val="20"/>
        </w:rPr>
        <w:fldChar w:fldCharType="separate"/>
      </w:r>
      <w:r>
        <w:rPr>
          <w:rFonts w:hint="eastAsia" w:eastAsia="Times New Roman"/>
          <w:sz w:val="20"/>
          <w:szCs w:val="20"/>
        </w:rPr>
        <w:t>X</w:t>
      </w:r>
      <w:r>
        <w:rPr>
          <w:rFonts w:hint="eastAsia" w:eastAsia="Times New Roman"/>
          <w:sz w:val="20"/>
          <w:szCs w:val="20"/>
        </w:rPr>
        <w:fldChar w:fldCharType="end"/>
      </w:r>
      <w:r>
        <w:rPr>
          <w:rFonts w:hint="eastAsia" w:eastAsia="Times New Roman"/>
          <w:sz w:val="20"/>
          <w:szCs w:val="20"/>
        </w:rPr>
        <w:t>.  Simulation results for generalization performance evaluation on different gNB setting</w:t>
      </w:r>
    </w:p>
    <w:tbl>
      <w:tblPr>
        <w:tblStyle w:val="24"/>
        <w:tblW w:w="42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1166"/>
        <w:gridCol w:w="1145"/>
        <w:gridCol w:w="1206"/>
        <w:gridCol w:w="1130"/>
        <w:gridCol w:w="1097"/>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Cases</w:t>
            </w:r>
          </w:p>
        </w:tc>
        <w:tc>
          <w:tcPr>
            <w:tcW w:w="724"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Non-AI/AI</w:t>
            </w:r>
          </w:p>
        </w:tc>
        <w:tc>
          <w:tcPr>
            <w:tcW w:w="711"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50"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702"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82"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47" w:type="pct"/>
            <w:tcBorders>
              <w:left w:val="nil"/>
            </w:tcBorders>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Merge w:val="restart"/>
            <w:vAlign w:val="center"/>
          </w:tcPr>
          <w:p>
            <w:pPr>
              <w:widowControl w:val="0"/>
              <w:snapToGrid w:val="0"/>
              <w:spacing w:before="72" w:beforeLines="30" w:after="72" w:afterLines="30" w:line="288" w:lineRule="auto"/>
              <w:contextualSpacing/>
              <w:jc w:val="center"/>
              <w:rPr>
                <w:sz w:val="20"/>
                <w:szCs w:val="20"/>
              </w:rPr>
            </w:pPr>
            <w:r>
              <w:rPr>
                <w:rFonts w:hint="eastAsia"/>
                <w:bCs/>
                <w:sz w:val="20"/>
                <w:szCs w:val="20"/>
              </w:rPr>
              <w:t>Case 1-4-4-1</w:t>
            </w:r>
          </w:p>
        </w:tc>
        <w:tc>
          <w:tcPr>
            <w:tcW w:w="724"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w:t>
            </w:r>
          </w:p>
        </w:tc>
        <w:tc>
          <w:tcPr>
            <w:tcW w:w="3493"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1.994        43.09 %        24.80 %        24.80 %        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4"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AI</w:t>
            </w:r>
          </w:p>
        </w:tc>
        <w:tc>
          <w:tcPr>
            <w:tcW w:w="3493"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0.086        97.73 %        87.31 %        99.52 %        0.230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1-4-4-2</w:t>
            </w:r>
          </w:p>
        </w:tc>
        <w:tc>
          <w:tcPr>
            <w:tcW w:w="724"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93"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2.380        40.91 %        24.82 %        24.82 %        2.369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4"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93"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0.102        97.43 %        86.30 %        99.37 %        0.261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1-4-4-3</w:t>
            </w:r>
          </w:p>
        </w:tc>
        <w:tc>
          <w:tcPr>
            <w:tcW w:w="724"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93"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1.567        47.52 %        24.90 %        24.90 %        3.528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4"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93"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11.693       34.10 %        24.74 %        72.93 %        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1-4-4-4</w:t>
            </w:r>
          </w:p>
        </w:tc>
        <w:tc>
          <w:tcPr>
            <w:tcW w:w="724"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93"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2.390        39.41 %        24.13 %        24.13 %        2.394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1"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24"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93"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0.058        98.78 %        90.29 %        99.60 %        0.153</w:t>
            </w:r>
          </w:p>
        </w:tc>
      </w:tr>
    </w:tbl>
    <w:p>
      <w:pPr>
        <w:pStyle w:val="117"/>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 xml:space="preserve">generalization on different gNB settings, a significant performance loss is observed if the training data samples and the testing data samples are generated under different gNB beam structures. </w:t>
      </w:r>
    </w:p>
    <w:p>
      <w:pPr>
        <w:pStyle w:val="117"/>
        <w:spacing w:before="72" w:after="72"/>
        <w:jc w:val="both"/>
        <w:rPr>
          <w:kern w:val="2"/>
          <w:sz w:val="20"/>
          <w:szCs w:val="20"/>
        </w:rPr>
      </w:pPr>
      <w:r>
        <w:rPr>
          <w:rFonts w:hint="eastAsia"/>
          <w:kern w:val="2"/>
          <w:sz w:val="20"/>
          <w:szCs w:val="20"/>
        </w:rPr>
        <w:t xml:space="preserve">Compared with the case that the same gNB beam structure is used for generating the training data samples and the testing data samples, only marginal performance loss is observed if the training data samples of </w:t>
      </w:r>
      <w:r>
        <w:rPr>
          <w:rFonts w:hint="eastAsia"/>
          <w:kern w:val="2"/>
          <w:sz w:val="20"/>
          <w:szCs w:val="20"/>
          <w:lang w:eastAsia="zh-CN"/>
        </w:rPr>
        <w:t xml:space="preserve">AI/ML model </w:t>
      </w:r>
      <w:r>
        <w:rPr>
          <w:kern w:val="2"/>
          <w:sz w:val="20"/>
          <w:szCs w:val="20"/>
        </w:rPr>
        <w:t>inclue</w:t>
      </w:r>
      <w:r>
        <w:rPr>
          <w:rFonts w:hint="eastAsia"/>
          <w:kern w:val="2"/>
          <w:sz w:val="20"/>
          <w:szCs w:val="20"/>
        </w:rPr>
        <w:t xml:space="preserve"> mixed data samples</w:t>
      </w:r>
      <w:r>
        <w:rPr>
          <w:kern w:val="2"/>
          <w:sz w:val="20"/>
          <w:szCs w:val="20"/>
        </w:rPr>
        <w:t xml:space="preserve"> from both gNB beam </w:t>
      </w:r>
      <w:r>
        <w:rPr>
          <w:rFonts w:hint="eastAsia"/>
          <w:kern w:val="2"/>
          <w:sz w:val="20"/>
          <w:szCs w:val="20"/>
          <w:lang w:val="en-US" w:eastAsia="zh-CN"/>
        </w:rPr>
        <w:t>layouts</w:t>
      </w:r>
      <w:r>
        <w:rPr>
          <w:rFonts w:hint="eastAsia"/>
          <w:kern w:val="2"/>
          <w:sz w:val="20"/>
          <w:szCs w:val="20"/>
        </w:rPr>
        <w:t xml:space="preserve">. </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Generalization on different number of UE Rx beams</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To evaluate the AI model's generalization capability on different number of UE Rx beams, two UE </w:t>
      </w:r>
      <w:r>
        <w:rPr>
          <w:rFonts w:hint="eastAsia"/>
          <w:sz w:val="20"/>
          <w:szCs w:val="20"/>
        </w:rPr>
        <w:t>a</w:t>
      </w:r>
      <w:r>
        <w:rPr>
          <w:rFonts w:hint="eastAsia" w:eastAsia="Times New Roman"/>
          <w:sz w:val="20"/>
          <w:szCs w:val="20"/>
        </w:rPr>
        <w:t>ntenna configuration</w:t>
      </w:r>
      <w:r>
        <w:rPr>
          <w:rFonts w:hint="eastAsia"/>
          <w:sz w:val="20"/>
          <w:szCs w:val="20"/>
        </w:rPr>
        <w:t>s</w:t>
      </w:r>
      <w:r>
        <w:rPr>
          <w:rFonts w:hint="eastAsia" w:eastAsia="Times New Roman"/>
          <w:sz w:val="20"/>
          <w:szCs w:val="20"/>
        </w:rPr>
        <w:t xml:space="preserve"> with (M, N, P, Mg, Ng) = (1, 4, 2, 1, 2) and (M, N, P, Mg, Ng) = (1, 2, 2, 1, 2) are used to generate data samples corresponding to 8 Rx beams and 4 Rx beams, respectively. With different number of UE Rx beams during the </w:t>
      </w:r>
      <w:r>
        <w:rPr>
          <w:rFonts w:hint="eastAsia"/>
          <w:sz w:val="20"/>
          <w:szCs w:val="20"/>
          <w:lang w:eastAsia="zh-CN"/>
        </w:rPr>
        <w:t xml:space="preserve">AI/ML model </w:t>
      </w:r>
      <w:r>
        <w:rPr>
          <w:rFonts w:hint="eastAsia" w:eastAsia="Times New Roman"/>
          <w:sz w:val="20"/>
          <w:szCs w:val="20"/>
        </w:rPr>
        <w:t>training phase and testing phase, the beam pair prediction is conducted with the following 5 different variations of &lt;T16 R8&gt; or &lt;T16 R4&gt; being evaluated for comparison.</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1-4-5-1: </w:t>
      </w:r>
      <w:bookmarkStart w:id="11" w:name="OLE_LINK22"/>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w:t>
      </w:r>
      <w:r>
        <w:rPr>
          <w:rFonts w:hint="eastAsia" w:eastAsia="Times New Roman"/>
          <w:b/>
          <w:bCs/>
          <w:sz w:val="20"/>
          <w:szCs w:val="20"/>
        </w:rPr>
        <w:t>mixed data samples</w:t>
      </w:r>
      <w:r>
        <w:rPr>
          <w:rFonts w:hint="eastAsia" w:eastAsia="Times New Roman"/>
          <w:sz w:val="20"/>
          <w:szCs w:val="20"/>
        </w:rPr>
        <w:t>, which are generated based on 8 Rx beams and 4 Rx beam</w:t>
      </w:r>
      <w:bookmarkEnd w:id="11"/>
      <w:r>
        <w:rPr>
          <w:rFonts w:hint="eastAsia" w:eastAsia="Times New Roman"/>
          <w:sz w:val="20"/>
          <w:szCs w:val="20"/>
        </w:rPr>
        <w:t>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 xml:space="preserve">are also the </w:t>
      </w:r>
      <w:r>
        <w:rPr>
          <w:rFonts w:hint="eastAsia"/>
          <w:b/>
          <w:bCs/>
          <w:sz w:val="20"/>
          <w:szCs w:val="20"/>
        </w:rPr>
        <w:t>mixed data samples</w:t>
      </w:r>
      <w:r>
        <w:rPr>
          <w:rFonts w:hint="eastAsia"/>
          <w:sz w:val="20"/>
          <w:szCs w:val="20"/>
        </w:rPr>
        <w:t xml:space="preserve"> as mentioned above.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1-4-5-2: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w:t>
      </w:r>
      <w:r>
        <w:rPr>
          <w:rFonts w:hint="eastAsia" w:eastAsia="Times New Roman"/>
          <w:b/>
          <w:bCs/>
          <w:sz w:val="20"/>
          <w:szCs w:val="20"/>
        </w:rPr>
        <w:t>mixed data samples</w:t>
      </w:r>
      <w:r>
        <w:rPr>
          <w:rFonts w:hint="eastAsia" w:eastAsia="Times New Roman"/>
          <w:sz w:val="20"/>
          <w:szCs w:val="20"/>
        </w:rPr>
        <w:t>, which are generated based on 8 Rx beams and 4 Rx beams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 xml:space="preserve">are generated based on </w:t>
      </w:r>
      <w:r>
        <w:rPr>
          <w:rFonts w:hint="eastAsia"/>
          <w:b/>
          <w:bCs/>
          <w:sz w:val="20"/>
          <w:szCs w:val="20"/>
        </w:rPr>
        <w:t>8 Rx beams.</w:t>
      </w:r>
      <w:r>
        <w:rPr>
          <w:rFonts w:hint="eastAsia"/>
          <w:sz w:val="20"/>
          <w:szCs w:val="20"/>
        </w:rPr>
        <w:t xml:space="preserve"> </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1-4-5-3: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w:t>
      </w:r>
      <w:r>
        <w:rPr>
          <w:rFonts w:hint="eastAsia" w:eastAsia="Times New Roman"/>
          <w:b/>
          <w:bCs/>
          <w:sz w:val="20"/>
          <w:szCs w:val="20"/>
        </w:rPr>
        <w:t>8 Rx beams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 xml:space="preserve">are generated based on </w:t>
      </w:r>
      <w:r>
        <w:rPr>
          <w:rFonts w:hint="eastAsia"/>
          <w:b/>
          <w:bCs/>
          <w:sz w:val="20"/>
          <w:szCs w:val="20"/>
        </w:rPr>
        <w:t>4 Rx beams.</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1-4-5-4: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w:t>
      </w:r>
      <w:r>
        <w:rPr>
          <w:rFonts w:hint="eastAsia" w:eastAsia="Times New Roman"/>
          <w:b/>
          <w:bCs/>
          <w:sz w:val="20"/>
          <w:szCs w:val="20"/>
        </w:rPr>
        <w:t>8 Rx beams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 xml:space="preserve">are generated based on </w:t>
      </w:r>
      <w:r>
        <w:rPr>
          <w:rFonts w:hint="eastAsia"/>
          <w:b/>
          <w:bCs/>
          <w:sz w:val="20"/>
          <w:szCs w:val="20"/>
        </w:rPr>
        <w:t>8 Rx beams.</w:t>
      </w:r>
    </w:p>
    <w:p>
      <w:pPr>
        <w:numPr>
          <w:ilvl w:val="0"/>
          <w:numId w:val="11"/>
        </w:numPr>
        <w:snapToGrid w:val="0"/>
        <w:spacing w:before="72" w:beforeLines="30" w:after="72" w:afterLines="30" w:line="288" w:lineRule="auto"/>
        <w:jc w:val="both"/>
        <w:rPr>
          <w:rFonts w:eastAsia="Times New Roman"/>
          <w:sz w:val="20"/>
          <w:szCs w:val="20"/>
        </w:rPr>
      </w:pPr>
      <w:r>
        <w:rPr>
          <w:rFonts w:hint="eastAsia" w:eastAsia="Times New Roman"/>
          <w:b/>
          <w:bCs/>
          <w:sz w:val="20"/>
          <w:szCs w:val="20"/>
        </w:rPr>
        <w:t xml:space="preserve">Case 1-4-5-5: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based on </w:t>
      </w:r>
      <w:r>
        <w:rPr>
          <w:rFonts w:hint="eastAsia" w:eastAsia="Times New Roman"/>
          <w:b/>
          <w:bCs/>
          <w:sz w:val="20"/>
          <w:szCs w:val="20"/>
        </w:rPr>
        <w:t>4 Rx beams</w:t>
      </w:r>
      <w:r>
        <w:rPr>
          <w:rFonts w:hint="eastAsia"/>
          <w:sz w:val="20"/>
          <w:szCs w:val="20"/>
        </w:rPr>
        <w:t xml:space="preserve">. The testing data samples of </w:t>
      </w:r>
      <w:r>
        <w:rPr>
          <w:rFonts w:hint="eastAsia" w:eastAsia="Times New Roman"/>
          <w:sz w:val="20"/>
          <w:szCs w:val="20"/>
        </w:rPr>
        <w:t xml:space="preserve">the </w:t>
      </w:r>
      <w:r>
        <w:rPr>
          <w:rFonts w:hint="eastAsia"/>
          <w:sz w:val="20"/>
          <w:szCs w:val="20"/>
          <w:lang w:eastAsia="zh-CN"/>
        </w:rPr>
        <w:t xml:space="preserve">AI/ML model </w:t>
      </w:r>
      <w:r>
        <w:rPr>
          <w:rFonts w:hint="eastAsia"/>
          <w:sz w:val="20"/>
          <w:szCs w:val="20"/>
        </w:rPr>
        <w:t xml:space="preserve">are generated based on </w:t>
      </w:r>
      <w:r>
        <w:rPr>
          <w:rFonts w:hint="eastAsia"/>
          <w:b/>
          <w:bCs/>
          <w:sz w:val="20"/>
          <w:szCs w:val="20"/>
        </w:rPr>
        <w:t>4 Rx beams.</w:t>
      </w:r>
      <w:r>
        <w:rPr>
          <w:rFonts w:hint="eastAsia" w:eastAsia="Times New Roman"/>
          <w:sz w:val="20"/>
          <w:szCs w:val="20"/>
        </w:rPr>
        <w:t xml:space="preserve"> </w:t>
      </w:r>
    </w:p>
    <w:p>
      <w:pPr>
        <w:snapToGrid w:val="0"/>
        <w:spacing w:before="72" w:beforeLines="30" w:after="72" w:afterLines="30" w:line="288" w:lineRule="auto"/>
        <w:jc w:val="both"/>
        <w:rPr>
          <w:rFonts w:eastAsia="Times New Roman"/>
          <w:sz w:val="20"/>
          <w:szCs w:val="20"/>
        </w:rPr>
      </w:pPr>
      <w:r>
        <w:rPr>
          <w:rFonts w:hint="eastAsia"/>
          <w:sz w:val="20"/>
          <w:szCs w:val="20"/>
        </w:rPr>
        <w:t xml:space="preserve">Detailed simulation results of the above four cases are provided in the result collection excel [3]. Some of the </w:t>
      </w:r>
      <w:r>
        <w:rPr>
          <w:rFonts w:hint="eastAsia" w:eastAsia="Times New Roman"/>
          <w:sz w:val="20"/>
          <w:szCs w:val="20"/>
        </w:rPr>
        <w:t xml:space="preserve">simulation results are </w:t>
      </w:r>
      <w:r>
        <w:rPr>
          <w:rFonts w:hint="eastAsia"/>
          <w:sz w:val="20"/>
          <w:szCs w:val="20"/>
        </w:rPr>
        <w:t xml:space="preserve">also </w:t>
      </w:r>
      <w:r>
        <w:rPr>
          <w:rFonts w:hint="eastAsia" w:eastAsia="Times New Roman"/>
          <w:sz w:val="20"/>
          <w:szCs w:val="20"/>
        </w:rPr>
        <w:t xml:space="preserve">provided in Table </w:t>
      </w:r>
      <w:r>
        <w:rPr>
          <w:rFonts w:hint="eastAsia"/>
          <w:sz w:val="20"/>
          <w:szCs w:val="20"/>
        </w:rPr>
        <w:t>XI for reference</w:t>
      </w:r>
      <w:r>
        <w:rPr>
          <w:rFonts w:hint="eastAsia" w:eastAsia="Times New Roman"/>
          <w:sz w:val="20"/>
          <w:szCs w:val="20"/>
        </w:rPr>
        <w:t>.</w:t>
      </w:r>
      <w:r>
        <w:rPr>
          <w:rFonts w:hint="eastAsia"/>
          <w:sz w:val="20"/>
          <w:szCs w:val="20"/>
        </w:rPr>
        <w:t xml:space="preserve"> </w:t>
      </w:r>
      <w:r>
        <w:rPr>
          <w:rFonts w:hint="eastAsia" w:eastAsia="Times New Roman"/>
          <w:sz w:val="20"/>
          <w:szCs w:val="20"/>
        </w:rPr>
        <w:t xml:space="preserve">Accordingly, compared with the case that the training data samples and testing data samples are generated based on the same number of UE Rx beams, only marginal performance loss is observed for the case that different number of UE Rx beams are used for model training and testing. Therefore, we can conclude that the </w:t>
      </w:r>
      <w:r>
        <w:rPr>
          <w:rFonts w:hint="eastAsia"/>
          <w:sz w:val="20"/>
          <w:szCs w:val="20"/>
          <w:lang w:eastAsia="zh-CN"/>
        </w:rPr>
        <w:t xml:space="preserve">AI/ML model </w:t>
      </w:r>
      <w:r>
        <w:rPr>
          <w:rFonts w:hint="eastAsia" w:eastAsia="Times New Roman"/>
          <w:sz w:val="20"/>
          <w:szCs w:val="20"/>
        </w:rPr>
        <w:t xml:space="preserve">can provide good generalization capability on different number of UE Rx beams for beam pair prediction. </w:t>
      </w:r>
    </w:p>
    <w:p>
      <w:pPr>
        <w:snapToGrid w:val="0"/>
        <w:spacing w:before="72" w:beforeLines="30" w:after="72" w:afterLines="30" w:line="288" w:lineRule="auto"/>
        <w:jc w:val="center"/>
        <w:rPr>
          <w:rFonts w:eastAsia="Times New Roman"/>
          <w:sz w:val="20"/>
          <w:szCs w:val="20"/>
        </w:rPr>
      </w:pPr>
      <w:r>
        <w:rPr>
          <w:rFonts w:hint="eastAsia" w:eastAsia="Times New Roman"/>
          <w:sz w:val="20"/>
          <w:szCs w:val="20"/>
        </w:rPr>
        <w:t xml:space="preserve">Table </w:t>
      </w:r>
      <w:r>
        <w:rPr>
          <w:rFonts w:hint="eastAsia" w:eastAsia="Times New Roman"/>
          <w:sz w:val="20"/>
          <w:szCs w:val="20"/>
        </w:rPr>
        <w:fldChar w:fldCharType="begin"/>
      </w:r>
      <w:r>
        <w:rPr>
          <w:rFonts w:hint="eastAsia" w:eastAsia="Times New Roman"/>
          <w:sz w:val="20"/>
          <w:szCs w:val="20"/>
        </w:rPr>
        <w:instrText xml:space="preserve"> = 11 \* ROMAN \* MERGEFORMAT </w:instrText>
      </w:r>
      <w:r>
        <w:rPr>
          <w:rFonts w:hint="eastAsia" w:eastAsia="Times New Roman"/>
          <w:sz w:val="20"/>
          <w:szCs w:val="20"/>
        </w:rPr>
        <w:fldChar w:fldCharType="separate"/>
      </w:r>
      <w:r>
        <w:rPr>
          <w:rFonts w:hint="eastAsia" w:eastAsia="Times New Roman"/>
          <w:sz w:val="20"/>
          <w:szCs w:val="20"/>
        </w:rPr>
        <w:t>XI</w:t>
      </w:r>
      <w:r>
        <w:rPr>
          <w:rFonts w:hint="eastAsia" w:eastAsia="Times New Roman"/>
          <w:sz w:val="20"/>
          <w:szCs w:val="20"/>
        </w:rPr>
        <w:fldChar w:fldCharType="end"/>
      </w:r>
      <w:r>
        <w:rPr>
          <w:rFonts w:hint="eastAsia" w:eastAsia="Times New Roman"/>
          <w:sz w:val="20"/>
          <w:szCs w:val="20"/>
        </w:rPr>
        <w:t>.  Simulation results for generalization performance evaluation on different number of UE Rx beams</w:t>
      </w:r>
    </w:p>
    <w:tbl>
      <w:tblPr>
        <w:tblStyle w:val="24"/>
        <w:tblW w:w="40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9"/>
        <w:gridCol w:w="1114"/>
        <w:gridCol w:w="1090"/>
        <w:gridCol w:w="1100"/>
        <w:gridCol w:w="1063"/>
        <w:gridCol w:w="1063"/>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Cases</w:t>
            </w:r>
          </w:p>
        </w:tc>
        <w:tc>
          <w:tcPr>
            <w:tcW w:w="712"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Non-AI/AI</w:t>
            </w:r>
          </w:p>
        </w:tc>
        <w:tc>
          <w:tcPr>
            <w:tcW w:w="696"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03"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679"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79"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700" w:type="pct"/>
            <w:tcBorders>
              <w:left w:val="nil"/>
            </w:tcBorders>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restart"/>
            <w:vAlign w:val="center"/>
          </w:tcPr>
          <w:p>
            <w:pPr>
              <w:widowControl w:val="0"/>
              <w:snapToGrid w:val="0"/>
              <w:spacing w:before="72" w:beforeLines="30" w:after="72" w:afterLines="30" w:line="288" w:lineRule="auto"/>
              <w:contextualSpacing/>
              <w:jc w:val="center"/>
              <w:rPr>
                <w:sz w:val="20"/>
                <w:szCs w:val="20"/>
              </w:rPr>
            </w:pPr>
            <w:r>
              <w:rPr>
                <w:rFonts w:hint="eastAsia"/>
                <w:bCs/>
                <w:sz w:val="20"/>
                <w:szCs w:val="20"/>
              </w:rPr>
              <w:t>Case 1-4-5-1</w:t>
            </w:r>
          </w:p>
        </w:tc>
        <w:tc>
          <w:tcPr>
            <w:tcW w:w="712"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bookmarkStart w:id="12" w:name="OLE_LINK24"/>
            <w:r>
              <w:rPr>
                <w:rFonts w:hint="eastAsia"/>
                <w:sz w:val="20"/>
                <w:szCs w:val="20"/>
              </w:rPr>
              <w:t>2.018        43.14 %        24.42 %        24.42 %        2.025</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2"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0.097        97.43 %        64.06 %        97.52 %        0.247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1-4-5-2</w:t>
            </w:r>
          </w:p>
        </w:tc>
        <w:tc>
          <w:tcPr>
            <w:tcW w:w="712"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2.021        42.93 %        24.84 %        24.84 %        2.036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2"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0.121        96.70 %        82.48 %        98.63 %        0.304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1-4-5-3</w:t>
            </w:r>
          </w:p>
        </w:tc>
        <w:tc>
          <w:tcPr>
            <w:tcW w:w="712"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2.060        43.33 %        25.05 %        25.05 %        2.129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2"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58" w:type="pct"/>
            <w:gridSpan w:val="5"/>
            <w:vAlign w:val="center"/>
          </w:tcPr>
          <w:p>
            <w:pPr>
              <w:widowControl w:val="0"/>
              <w:snapToGrid w:val="0"/>
              <w:spacing w:before="72" w:beforeLines="30" w:after="72" w:afterLines="30" w:line="288" w:lineRule="auto"/>
              <w:contextualSpacing/>
              <w:jc w:val="center"/>
              <w:rPr>
                <w:sz w:val="20"/>
                <w:szCs w:val="20"/>
                <w:highlight w:val="yellow"/>
              </w:rPr>
            </w:pPr>
            <w:r>
              <w:rPr>
                <w:rFonts w:hint="eastAsia"/>
                <w:sz w:val="20"/>
                <w:szCs w:val="20"/>
              </w:rPr>
              <w:t>0.126        94.44 %        44.72 %        95.01 %        0.289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1-4-5-4</w:t>
            </w:r>
          </w:p>
        </w:tc>
        <w:tc>
          <w:tcPr>
            <w:tcW w:w="712"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2.043        43.05 %        24.36 %        24.36 %        2.058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2"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0.094        97.49 %        84.86 %        98.86 %        0.242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1-4-5-5</w:t>
            </w:r>
          </w:p>
        </w:tc>
        <w:tc>
          <w:tcPr>
            <w:tcW w:w="712"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1.974        43.75 %        24.63 %        24.63 %        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9"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2"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458" w:type="pct"/>
            <w:gridSpan w:val="5"/>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0.078        98.08 %        43.10 %        96.82 %        0.195</w:t>
            </w:r>
          </w:p>
        </w:tc>
      </w:tr>
    </w:tbl>
    <w:p>
      <w:pPr>
        <w:pStyle w:val="117"/>
        <w:spacing w:before="72" w:after="72"/>
        <w:jc w:val="both"/>
        <w:rPr>
          <w:kern w:val="2"/>
          <w:sz w:val="20"/>
          <w:szCs w:val="20"/>
        </w:rPr>
      </w:pPr>
      <w:r>
        <w:rPr>
          <w:rFonts w:hint="eastAsia"/>
          <w:kern w:val="2"/>
          <w:sz w:val="20"/>
          <w:szCs w:val="20"/>
        </w:rPr>
        <w:t xml:space="preserve">For </w:t>
      </w:r>
      <w:r>
        <w:rPr>
          <w:rFonts w:hint="eastAsia"/>
          <w:kern w:val="2"/>
          <w:sz w:val="20"/>
          <w:szCs w:val="20"/>
          <w:lang w:eastAsia="zh-CN"/>
        </w:rPr>
        <w:t xml:space="preserve">AI/ML model </w:t>
      </w:r>
      <w:r>
        <w:rPr>
          <w:rFonts w:hint="eastAsia"/>
          <w:kern w:val="2"/>
          <w:sz w:val="20"/>
          <w:szCs w:val="20"/>
        </w:rPr>
        <w:t xml:space="preserve">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w:t>
      </w:r>
      <w:r>
        <w:rPr>
          <w:rFonts w:hint="eastAsia"/>
          <w:kern w:val="2"/>
          <w:sz w:val="20"/>
          <w:szCs w:val="20"/>
          <w:lang w:eastAsia="zh-CN"/>
        </w:rPr>
        <w:t xml:space="preserve">AI/ML model </w:t>
      </w:r>
      <w:r>
        <w:rPr>
          <w:rFonts w:hint="eastAsia"/>
          <w:kern w:val="2"/>
          <w:sz w:val="20"/>
          <w:szCs w:val="20"/>
        </w:rPr>
        <w:t xml:space="preserve">training and testing. </w:t>
      </w:r>
    </w:p>
    <w:p>
      <w:pPr>
        <w:pStyle w:val="117"/>
        <w:spacing w:before="72" w:after="72"/>
        <w:jc w:val="both"/>
        <w:rPr>
          <w:kern w:val="2"/>
          <w:sz w:val="20"/>
          <w:szCs w:val="20"/>
        </w:rPr>
      </w:pPr>
      <w:r>
        <w:rPr>
          <w:rFonts w:hint="eastAsia"/>
          <w:kern w:val="2"/>
          <w:sz w:val="20"/>
          <w:szCs w:val="20"/>
        </w:rPr>
        <w:t xml:space="preserve">The </w:t>
      </w:r>
      <w:r>
        <w:rPr>
          <w:rFonts w:hint="eastAsia"/>
          <w:kern w:val="2"/>
          <w:sz w:val="20"/>
          <w:szCs w:val="20"/>
          <w:lang w:eastAsia="zh-CN"/>
        </w:rPr>
        <w:t xml:space="preserve">AI/ML model </w:t>
      </w:r>
      <w:r>
        <w:rPr>
          <w:rFonts w:hint="eastAsia"/>
          <w:kern w:val="2"/>
          <w:sz w:val="20"/>
          <w:szCs w:val="20"/>
        </w:rPr>
        <w:t xml:space="preserve">can provide good generalization capability on different number of UE Rx beams for beam pair prediction. </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Generalization on different UE distribution</w:t>
      </w:r>
    </w:p>
    <w:p>
      <w:pPr>
        <w:jc w:val="both"/>
        <w:rPr>
          <w:sz w:val="20"/>
          <w:szCs w:val="20"/>
        </w:rPr>
      </w:pPr>
      <w:r>
        <w:rPr>
          <w:rFonts w:hint="eastAsia"/>
          <w:sz w:val="20"/>
          <w:szCs w:val="20"/>
        </w:rPr>
        <w:t>To encourage companies to evaluate the impact of UE distribution, the following conclusion was obtained in RAN1#112bis-e. In this section, we evaluation the performance for BM Case-1 with different UE distribution assumptions for both the non-generalization and generalization cases.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numPr>
                <w:ilvl w:val="255"/>
                <w:numId w:val="0"/>
              </w:numPr>
              <w:snapToGrid w:val="0"/>
              <w:spacing w:before="72" w:beforeLines="30" w:after="72" w:afterLines="30" w:line="288" w:lineRule="auto"/>
              <w:rPr>
                <w:b/>
                <w:bCs/>
                <w:sz w:val="20"/>
                <w:szCs w:val="20"/>
                <w:u w:val="single"/>
              </w:rPr>
            </w:pPr>
            <w:r>
              <w:rPr>
                <w:rFonts w:hint="eastAsia"/>
                <w:b/>
                <w:bCs/>
                <w:sz w:val="20"/>
                <w:szCs w:val="20"/>
                <w:u w:val="single"/>
              </w:rPr>
              <w:t>Conclusion:</w:t>
            </w:r>
          </w:p>
          <w:p>
            <w:pPr>
              <w:widowControl w:val="0"/>
              <w:snapToGrid w:val="0"/>
              <w:spacing w:before="72" w:beforeLines="30" w:after="72" w:afterLines="30" w:line="288" w:lineRule="auto"/>
              <w:rPr>
                <w:sz w:val="20"/>
                <w:szCs w:val="20"/>
                <w:lang w:val="en-GB" w:eastAsia="en-US"/>
              </w:rPr>
            </w:pPr>
            <w:r>
              <w:rPr>
                <w:sz w:val="20"/>
                <w:szCs w:val="20"/>
                <w:lang w:val="en-GB" w:eastAsia="en-US"/>
              </w:rPr>
              <w:t xml:space="preserve">It is optional to evaluate and compare the performance for BM Case-1 with different UE distribution assumptions: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lang w:val="en-GB" w:eastAsia="en-US"/>
              </w:rPr>
            </w:pPr>
            <w:r>
              <w:rPr>
                <w:rFonts w:eastAsia="Batang"/>
                <w:sz w:val="20"/>
                <w:szCs w:val="20"/>
                <w:lang w:val="en-GB" w:eastAsia="en-US"/>
              </w:rPr>
              <w:t>Option 1: 80% indoor, 20% outdoor as in TR 38.901</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pPr>
            <w:r>
              <w:rPr>
                <w:rFonts w:eastAsia="Batang"/>
                <w:sz w:val="20"/>
                <w:szCs w:val="20"/>
                <w:lang w:val="en-GB" w:eastAsia="en-US"/>
              </w:rPr>
              <w:t>Option 2: 100% outdoor</w:t>
            </w:r>
          </w:p>
        </w:tc>
      </w:tr>
    </w:tbl>
    <w:p>
      <w:pPr>
        <w:snapToGrid w:val="0"/>
        <w:spacing w:before="72" w:beforeLines="30" w:after="72" w:afterLines="30" w:line="288" w:lineRule="auto"/>
        <w:jc w:val="both"/>
        <w:rPr>
          <w:rFonts w:eastAsia="Times New Roman"/>
          <w:sz w:val="20"/>
          <w:szCs w:val="20"/>
        </w:rPr>
      </w:pPr>
      <w:r>
        <w:rPr>
          <w:rFonts w:hint="eastAsia" w:eastAsia="Times New Roman"/>
          <w:sz w:val="20"/>
          <w:szCs w:val="20"/>
        </w:rPr>
        <w:t>In order to evaluate the AI</w:t>
      </w:r>
      <w:r>
        <w:rPr>
          <w:rFonts w:hint="eastAsia"/>
          <w:sz w:val="20"/>
          <w:szCs w:val="20"/>
          <w:lang w:val="en-US" w:eastAsia="zh-CN"/>
        </w:rPr>
        <w:t>/ML</w:t>
      </w:r>
      <w:r>
        <w:rPr>
          <w:rFonts w:hint="eastAsia" w:eastAsia="Times New Roman"/>
          <w:sz w:val="20"/>
          <w:szCs w:val="20"/>
        </w:rPr>
        <w:t xml:space="preserve"> model</w:t>
      </w:r>
      <w:r>
        <w:rPr>
          <w:sz w:val="20"/>
          <w:szCs w:val="20"/>
        </w:rPr>
        <w:t>’</w:t>
      </w:r>
      <w:r>
        <w:rPr>
          <w:rFonts w:hint="eastAsia" w:eastAsia="Times New Roman"/>
          <w:sz w:val="20"/>
          <w:szCs w:val="20"/>
        </w:rPr>
        <w:t xml:space="preserve">s generalization capability on different </w:t>
      </w:r>
      <w:r>
        <w:rPr>
          <w:rFonts w:hint="eastAsia"/>
          <w:sz w:val="20"/>
          <w:szCs w:val="20"/>
        </w:rPr>
        <w:t>UE distributions</w:t>
      </w:r>
      <w:r>
        <w:rPr>
          <w:rFonts w:hint="eastAsia" w:eastAsia="Times New Roman"/>
          <w:sz w:val="20"/>
          <w:szCs w:val="20"/>
        </w:rPr>
        <w:t xml:space="preserve">, </w:t>
      </w:r>
      <w:r>
        <w:rPr>
          <w:rFonts w:hint="eastAsia"/>
          <w:sz w:val="20"/>
          <w:szCs w:val="20"/>
        </w:rPr>
        <w:t xml:space="preserve">two UE distribution options are considered to generate the data samples, that is Option 1 with 80% indoor, 20% outdoor as in TR 38.901 and Option 2 with 100% outdoor. The Rx beam assumption for measurement is selected as </w:t>
      </w:r>
      <w:r>
        <w:rPr>
          <w:sz w:val="20"/>
          <w:szCs w:val="20"/>
          <w:lang w:eastAsia="en-US"/>
        </w:rPr>
        <w:t xml:space="preserve">the best Rx beam </w:t>
      </w:r>
      <w:r>
        <w:rPr>
          <w:rFonts w:hint="eastAsia"/>
          <w:sz w:val="20"/>
          <w:szCs w:val="20"/>
        </w:rPr>
        <w:t xml:space="preserve">for each Tx beam </w:t>
      </w:r>
      <w:r>
        <w:rPr>
          <w:sz w:val="20"/>
          <w:szCs w:val="20"/>
          <w:lang w:val="en-GB" w:eastAsia="en-US"/>
        </w:rPr>
        <w:t>within Set B</w:t>
      </w:r>
      <w:r>
        <w:rPr>
          <w:rFonts w:hint="eastAsia"/>
          <w:sz w:val="20"/>
          <w:szCs w:val="20"/>
        </w:rPr>
        <w:t xml:space="preserve"> (i.e., Rx beam assumption 5). To be more specific, the </w:t>
      </w:r>
      <w:r>
        <w:rPr>
          <w:rFonts w:hint="eastAsia" w:eastAsia="Times New Roman"/>
          <w:sz w:val="20"/>
          <w:szCs w:val="20"/>
        </w:rPr>
        <w:t xml:space="preserve">DL Tx beam prediction </w:t>
      </w:r>
      <w:r>
        <w:rPr>
          <w:rFonts w:hint="eastAsia"/>
          <w:sz w:val="20"/>
          <w:szCs w:val="20"/>
        </w:rPr>
        <w:t xml:space="preserve">is </w:t>
      </w:r>
      <w:r>
        <w:rPr>
          <w:rFonts w:hint="eastAsia" w:eastAsia="Times New Roman"/>
          <w:sz w:val="20"/>
          <w:szCs w:val="20"/>
        </w:rPr>
        <w:t xml:space="preserve">conducted by </w:t>
      </w:r>
      <w:r>
        <w:rPr>
          <w:rFonts w:hint="eastAsia"/>
          <w:sz w:val="20"/>
          <w:szCs w:val="20"/>
        </w:rPr>
        <w:t xml:space="preserve">emulating </w:t>
      </w:r>
      <w:r>
        <w:rPr>
          <w:rFonts w:hint="eastAsia" w:eastAsia="Times New Roman"/>
          <w:sz w:val="20"/>
          <w:szCs w:val="20"/>
        </w:rPr>
        <w:t xml:space="preserve">the following </w:t>
      </w:r>
      <w:r>
        <w:rPr>
          <w:rFonts w:hint="eastAsia"/>
          <w:sz w:val="20"/>
          <w:szCs w:val="20"/>
        </w:rPr>
        <w:t xml:space="preserve">six </w:t>
      </w:r>
      <w:r>
        <w:rPr>
          <w:rFonts w:hint="eastAsia" w:eastAsia="Times New Roman"/>
          <w:sz w:val="20"/>
          <w:szCs w:val="20"/>
        </w:rPr>
        <w:t>variations of &lt;T16 R1&gt;.</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1-4-</w:t>
      </w:r>
      <w:r>
        <w:rPr>
          <w:rFonts w:hint="eastAsia"/>
          <w:b/>
          <w:bCs/>
          <w:sz w:val="20"/>
          <w:szCs w:val="20"/>
        </w:rPr>
        <w:t>6</w:t>
      </w:r>
      <w:r>
        <w:rPr>
          <w:rFonts w:hint="eastAsia" w:eastAsia="Times New Roman"/>
          <w:b/>
          <w:bCs/>
          <w:sz w:val="20"/>
          <w:szCs w:val="20"/>
        </w:rPr>
        <w:t>-</w:t>
      </w:r>
      <w:r>
        <w:rPr>
          <w:rFonts w:hint="eastAsia"/>
          <w:b/>
          <w:bCs/>
          <w:sz w:val="20"/>
          <w:szCs w:val="20"/>
        </w:rPr>
        <w:t>1</w:t>
      </w:r>
      <w:r>
        <w:rPr>
          <w:rFonts w:hint="eastAsia" w:eastAsia="Times New Roman"/>
          <w:b/>
          <w:bCs/>
          <w:sz w:val="20"/>
          <w:szCs w:val="20"/>
        </w:rPr>
        <w:t xml:space="preserve">: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under </w:t>
      </w:r>
      <w:r>
        <w:rPr>
          <w:rFonts w:hint="eastAsia"/>
          <w:sz w:val="20"/>
          <w:szCs w:val="20"/>
        </w:rPr>
        <w:t xml:space="preserve">UE distribution of 20% outdoor and 80% indoor. The testing data samples of the </w:t>
      </w:r>
      <w:r>
        <w:rPr>
          <w:rFonts w:hint="eastAsia"/>
          <w:sz w:val="20"/>
          <w:szCs w:val="20"/>
          <w:lang w:eastAsia="zh-CN"/>
        </w:rPr>
        <w:t xml:space="preserve">AI/ML model </w:t>
      </w:r>
      <w:r>
        <w:rPr>
          <w:rFonts w:hint="eastAsia"/>
          <w:sz w:val="20"/>
          <w:szCs w:val="20"/>
        </w:rPr>
        <w:t xml:space="preserve">are generated under UE distribution of 20% outdoor </w:t>
      </w:r>
      <w:r>
        <w:rPr>
          <w:rFonts w:hint="eastAsia"/>
          <w:sz w:val="20"/>
          <w:szCs w:val="20"/>
          <w:lang w:val="en-US" w:eastAsia="zh-CN"/>
        </w:rPr>
        <w:t xml:space="preserve">and </w:t>
      </w:r>
      <w:r>
        <w:rPr>
          <w:rFonts w:hint="eastAsia"/>
          <w:sz w:val="20"/>
          <w:szCs w:val="20"/>
        </w:rPr>
        <w:t xml:space="preserve">80% indoor.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1-4-</w:t>
      </w:r>
      <w:r>
        <w:rPr>
          <w:rFonts w:hint="eastAsia"/>
          <w:b/>
          <w:bCs/>
          <w:sz w:val="20"/>
          <w:szCs w:val="20"/>
        </w:rPr>
        <w:t>6</w:t>
      </w:r>
      <w:r>
        <w:rPr>
          <w:rFonts w:hint="eastAsia" w:eastAsia="Times New Roman"/>
          <w:b/>
          <w:bCs/>
          <w:sz w:val="20"/>
          <w:szCs w:val="20"/>
        </w:rPr>
        <w:t>-</w:t>
      </w:r>
      <w:r>
        <w:rPr>
          <w:rFonts w:hint="eastAsia"/>
          <w:b/>
          <w:bCs/>
          <w:sz w:val="20"/>
          <w:szCs w:val="20"/>
        </w:rPr>
        <w:t>2</w:t>
      </w:r>
      <w:r>
        <w:rPr>
          <w:rFonts w:hint="eastAsia" w:eastAsia="Times New Roman"/>
          <w:b/>
          <w:bCs/>
          <w:sz w:val="20"/>
          <w:szCs w:val="20"/>
        </w:rPr>
        <w:t xml:space="preserve">: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under </w:t>
      </w:r>
      <w:r>
        <w:rPr>
          <w:rFonts w:hint="eastAsia"/>
          <w:sz w:val="20"/>
          <w:szCs w:val="20"/>
        </w:rPr>
        <w:t xml:space="preserve">UE distribution of 100% outdoor. The testing data samples of the </w:t>
      </w:r>
      <w:r>
        <w:rPr>
          <w:rFonts w:hint="eastAsia"/>
          <w:sz w:val="20"/>
          <w:szCs w:val="20"/>
          <w:lang w:eastAsia="zh-CN"/>
        </w:rPr>
        <w:t xml:space="preserve">AI/ML model </w:t>
      </w:r>
      <w:r>
        <w:rPr>
          <w:rFonts w:hint="eastAsia"/>
          <w:sz w:val="20"/>
          <w:szCs w:val="20"/>
        </w:rPr>
        <w:t xml:space="preserve">are generated under UE distribution of 100% outdoor.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1-4-</w:t>
      </w:r>
      <w:r>
        <w:rPr>
          <w:rFonts w:hint="eastAsia"/>
          <w:b/>
          <w:bCs/>
          <w:sz w:val="20"/>
          <w:szCs w:val="20"/>
        </w:rPr>
        <w:t>6</w:t>
      </w:r>
      <w:r>
        <w:rPr>
          <w:rFonts w:hint="eastAsia" w:eastAsia="Times New Roman"/>
          <w:b/>
          <w:bCs/>
          <w:sz w:val="20"/>
          <w:szCs w:val="20"/>
        </w:rPr>
        <w:t xml:space="preserve">-3: </w:t>
      </w:r>
      <w:r>
        <w:rPr>
          <w:rFonts w:hint="eastAsia" w:eastAsia="Times New Roman"/>
          <w:sz w:val="20"/>
          <w:szCs w:val="20"/>
        </w:rPr>
        <w:t xml:space="preserve">The training data samples of the </w:t>
      </w:r>
      <w:r>
        <w:rPr>
          <w:rFonts w:hint="eastAsia"/>
          <w:sz w:val="20"/>
          <w:szCs w:val="20"/>
          <w:lang w:eastAsia="zh-CN"/>
        </w:rPr>
        <w:t xml:space="preserve">AI/ML model </w:t>
      </w:r>
      <w:r>
        <w:rPr>
          <w:rFonts w:hint="eastAsia" w:eastAsia="Times New Roman"/>
          <w:sz w:val="20"/>
          <w:szCs w:val="20"/>
        </w:rPr>
        <w:t xml:space="preserve">are generated under </w:t>
      </w:r>
      <w:r>
        <w:rPr>
          <w:rFonts w:hint="eastAsia"/>
          <w:sz w:val="20"/>
          <w:szCs w:val="20"/>
        </w:rPr>
        <w:t xml:space="preserve">UE distribution of 20% outdoor and 80% indoor. The testing data samples of the </w:t>
      </w:r>
      <w:r>
        <w:rPr>
          <w:rFonts w:hint="eastAsia"/>
          <w:sz w:val="20"/>
          <w:szCs w:val="20"/>
          <w:lang w:eastAsia="zh-CN"/>
        </w:rPr>
        <w:t xml:space="preserve">AI/ML model </w:t>
      </w:r>
      <w:r>
        <w:rPr>
          <w:rFonts w:hint="eastAsia"/>
          <w:sz w:val="20"/>
          <w:szCs w:val="20"/>
        </w:rPr>
        <w:t xml:space="preserve">are generated under UE distribution of 100% outdoor.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1-4-</w:t>
      </w:r>
      <w:r>
        <w:rPr>
          <w:rFonts w:hint="eastAsia"/>
          <w:b/>
          <w:bCs/>
          <w:sz w:val="20"/>
          <w:szCs w:val="20"/>
        </w:rPr>
        <w:t>6</w:t>
      </w:r>
      <w:r>
        <w:rPr>
          <w:rFonts w:hint="eastAsia" w:eastAsia="Times New Roman"/>
          <w:b/>
          <w:bCs/>
          <w:sz w:val="20"/>
          <w:szCs w:val="20"/>
        </w:rPr>
        <w:t>-</w:t>
      </w:r>
      <w:r>
        <w:rPr>
          <w:rFonts w:hint="eastAsia"/>
          <w:b/>
          <w:bCs/>
          <w:sz w:val="20"/>
          <w:szCs w:val="20"/>
        </w:rPr>
        <w:t>4</w:t>
      </w:r>
      <w:r>
        <w:rPr>
          <w:rFonts w:hint="eastAsia" w:eastAsia="Times New Roman"/>
          <w:b/>
          <w:bCs/>
          <w:sz w:val="20"/>
          <w:szCs w:val="20"/>
        </w:rPr>
        <w:t xml:space="preserve">: </w:t>
      </w:r>
      <w:r>
        <w:rPr>
          <w:rFonts w:hint="eastAsia" w:eastAsia="Times New Roman"/>
          <w:sz w:val="20"/>
          <w:szCs w:val="20"/>
        </w:rPr>
        <w:t xml:space="preserve">The training data </w:t>
      </w:r>
      <w:r>
        <w:rPr>
          <w:rFonts w:hint="eastAsia"/>
          <w:sz w:val="20"/>
          <w:szCs w:val="20"/>
        </w:rPr>
        <w:t>samples</w:t>
      </w:r>
      <w:r>
        <w:rPr>
          <w:rFonts w:hint="eastAsia" w:eastAsia="Times New Roman"/>
          <w:sz w:val="20"/>
          <w:szCs w:val="20"/>
        </w:rPr>
        <w:t xml:space="preserve"> of the </w:t>
      </w:r>
      <w:r>
        <w:rPr>
          <w:rFonts w:hint="eastAsia"/>
          <w:sz w:val="20"/>
          <w:szCs w:val="20"/>
          <w:lang w:eastAsia="zh-CN"/>
        </w:rPr>
        <w:t xml:space="preserve">AI/ML model </w:t>
      </w:r>
      <w:r>
        <w:rPr>
          <w:rFonts w:hint="eastAsia" w:eastAsia="Times New Roman"/>
          <w:sz w:val="20"/>
          <w:szCs w:val="20"/>
        </w:rPr>
        <w:t>consists of mixed data samples, which are generated under</w:t>
      </w:r>
      <w:r>
        <w:rPr>
          <w:rFonts w:eastAsia="Times New Roman"/>
          <w:sz w:val="20"/>
          <w:szCs w:val="20"/>
        </w:rPr>
        <w:t xml:space="preserve"> both </w:t>
      </w:r>
      <w:r>
        <w:rPr>
          <w:rFonts w:hint="eastAsia" w:eastAsia="宋体"/>
          <w:sz w:val="20"/>
          <w:szCs w:val="20"/>
          <w:lang w:val="en-US" w:eastAsia="zh-CN"/>
        </w:rPr>
        <w:t xml:space="preserve">the </w:t>
      </w:r>
      <w:r>
        <w:rPr>
          <w:rFonts w:eastAsia="Times New Roman"/>
          <w:sz w:val="20"/>
          <w:szCs w:val="20"/>
        </w:rPr>
        <w:t>UE distributions</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generated under UE distribution of 20% outdoor and 80% indoor.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1-4-</w:t>
      </w:r>
      <w:r>
        <w:rPr>
          <w:rFonts w:hint="eastAsia"/>
          <w:b/>
          <w:bCs/>
          <w:sz w:val="20"/>
          <w:szCs w:val="20"/>
        </w:rPr>
        <w:t>6</w:t>
      </w:r>
      <w:r>
        <w:rPr>
          <w:rFonts w:hint="eastAsia" w:eastAsia="Times New Roman"/>
          <w:b/>
          <w:bCs/>
          <w:sz w:val="20"/>
          <w:szCs w:val="20"/>
        </w:rPr>
        <w:t>-</w:t>
      </w:r>
      <w:r>
        <w:rPr>
          <w:rFonts w:hint="eastAsia"/>
          <w:b/>
          <w:bCs/>
          <w:sz w:val="20"/>
          <w:szCs w:val="20"/>
        </w:rPr>
        <w:t>5</w:t>
      </w:r>
      <w:r>
        <w:rPr>
          <w:rFonts w:hint="eastAsia" w:eastAsia="Times New Roman"/>
          <w:b/>
          <w:bCs/>
          <w:sz w:val="20"/>
          <w:szCs w:val="20"/>
        </w:rPr>
        <w:t xml:space="preserve">: </w:t>
      </w:r>
      <w:r>
        <w:rPr>
          <w:rFonts w:hint="eastAsia" w:eastAsia="Times New Roman"/>
          <w:sz w:val="20"/>
          <w:szCs w:val="20"/>
        </w:rPr>
        <w:t xml:space="preserve">The training data </w:t>
      </w:r>
      <w:r>
        <w:rPr>
          <w:rFonts w:hint="eastAsia"/>
          <w:sz w:val="20"/>
          <w:szCs w:val="20"/>
        </w:rPr>
        <w:t>samples</w:t>
      </w:r>
      <w:r>
        <w:rPr>
          <w:rFonts w:hint="eastAsia" w:eastAsia="Times New Roman"/>
          <w:sz w:val="20"/>
          <w:szCs w:val="20"/>
        </w:rPr>
        <w:t xml:space="preserve"> of the </w:t>
      </w:r>
      <w:r>
        <w:rPr>
          <w:rFonts w:hint="eastAsia"/>
          <w:sz w:val="20"/>
          <w:szCs w:val="20"/>
          <w:lang w:eastAsia="zh-CN"/>
        </w:rPr>
        <w:t xml:space="preserve">AI/ML model </w:t>
      </w:r>
      <w:r>
        <w:rPr>
          <w:rFonts w:hint="eastAsia" w:eastAsia="Times New Roman"/>
          <w:sz w:val="20"/>
          <w:szCs w:val="20"/>
        </w:rPr>
        <w:t xml:space="preserve">consists of mixed data samples, which are generated under </w:t>
      </w:r>
      <w:r>
        <w:rPr>
          <w:rFonts w:eastAsia="Times New Roman"/>
          <w:sz w:val="20"/>
          <w:szCs w:val="20"/>
        </w:rPr>
        <w:t xml:space="preserve">both </w:t>
      </w:r>
      <w:r>
        <w:rPr>
          <w:rFonts w:hint="eastAsia" w:eastAsia="宋体"/>
          <w:sz w:val="20"/>
          <w:szCs w:val="20"/>
          <w:lang w:val="en-US" w:eastAsia="zh-CN"/>
        </w:rPr>
        <w:t xml:space="preserve">the </w:t>
      </w:r>
      <w:r>
        <w:rPr>
          <w:rFonts w:eastAsia="Times New Roman"/>
          <w:sz w:val="20"/>
          <w:szCs w:val="20"/>
        </w:rPr>
        <w:t>UE distributions</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generated under UE distribution of 100% outdoor. </w:t>
      </w:r>
    </w:p>
    <w:p>
      <w:pPr>
        <w:numPr>
          <w:ilvl w:val="0"/>
          <w:numId w:val="11"/>
        </w:numPr>
        <w:snapToGrid w:val="0"/>
        <w:spacing w:before="72" w:beforeLines="30" w:after="72" w:afterLines="30" w:line="288" w:lineRule="auto"/>
        <w:ind w:left="862"/>
        <w:jc w:val="both"/>
        <w:rPr>
          <w:rFonts w:eastAsia="Times New Roman"/>
          <w:sz w:val="20"/>
          <w:szCs w:val="20"/>
        </w:rPr>
      </w:pPr>
      <w:r>
        <w:rPr>
          <w:rFonts w:hint="eastAsia" w:eastAsia="Times New Roman"/>
          <w:b/>
          <w:bCs/>
          <w:sz w:val="20"/>
          <w:szCs w:val="20"/>
        </w:rPr>
        <w:t>Case 1-4-</w:t>
      </w:r>
      <w:r>
        <w:rPr>
          <w:rFonts w:hint="eastAsia"/>
          <w:b/>
          <w:bCs/>
          <w:sz w:val="20"/>
          <w:szCs w:val="20"/>
        </w:rPr>
        <w:t>6</w:t>
      </w:r>
      <w:r>
        <w:rPr>
          <w:rFonts w:hint="eastAsia" w:eastAsia="Times New Roman"/>
          <w:b/>
          <w:bCs/>
          <w:sz w:val="20"/>
          <w:szCs w:val="20"/>
        </w:rPr>
        <w:t>-</w:t>
      </w:r>
      <w:r>
        <w:rPr>
          <w:rFonts w:hint="eastAsia"/>
          <w:b/>
          <w:bCs/>
          <w:sz w:val="20"/>
          <w:szCs w:val="20"/>
        </w:rPr>
        <w:t>6</w:t>
      </w:r>
      <w:r>
        <w:rPr>
          <w:rFonts w:hint="eastAsia" w:eastAsia="Times New Roman"/>
          <w:b/>
          <w:bCs/>
          <w:sz w:val="20"/>
          <w:szCs w:val="20"/>
        </w:rPr>
        <w:t xml:space="preserve">: </w:t>
      </w:r>
      <w:r>
        <w:rPr>
          <w:rFonts w:hint="eastAsia" w:eastAsia="Times New Roman"/>
          <w:sz w:val="20"/>
          <w:szCs w:val="20"/>
        </w:rPr>
        <w:t xml:space="preserve">The training data </w:t>
      </w:r>
      <w:r>
        <w:rPr>
          <w:rFonts w:hint="eastAsia"/>
          <w:sz w:val="20"/>
          <w:szCs w:val="20"/>
        </w:rPr>
        <w:t>samples</w:t>
      </w:r>
      <w:r>
        <w:rPr>
          <w:rFonts w:hint="eastAsia" w:eastAsia="Times New Roman"/>
          <w:sz w:val="20"/>
          <w:szCs w:val="20"/>
        </w:rPr>
        <w:t xml:space="preserve"> of the </w:t>
      </w:r>
      <w:r>
        <w:rPr>
          <w:rFonts w:hint="eastAsia"/>
          <w:sz w:val="20"/>
          <w:szCs w:val="20"/>
          <w:lang w:eastAsia="zh-CN"/>
        </w:rPr>
        <w:t xml:space="preserve">AI/ML model </w:t>
      </w:r>
      <w:r>
        <w:rPr>
          <w:rFonts w:hint="eastAsia" w:eastAsia="Times New Roman"/>
          <w:sz w:val="20"/>
          <w:szCs w:val="20"/>
        </w:rPr>
        <w:t xml:space="preserve">consists of mixed data samples, which are generated </w:t>
      </w:r>
      <w:r>
        <w:rPr>
          <w:rFonts w:hint="eastAsia"/>
          <w:sz w:val="20"/>
          <w:szCs w:val="20"/>
          <w:lang w:val="en-US" w:eastAsia="zh-CN"/>
        </w:rPr>
        <w:t>both the UE distributions</w:t>
      </w:r>
      <w:r>
        <w:rPr>
          <w:rFonts w:hint="eastAsia"/>
          <w:sz w:val="20"/>
          <w:szCs w:val="20"/>
        </w:rPr>
        <w:t xml:space="preserve">. The testing data samples of the </w:t>
      </w:r>
      <w:r>
        <w:rPr>
          <w:rFonts w:hint="eastAsia"/>
          <w:sz w:val="20"/>
          <w:szCs w:val="20"/>
          <w:lang w:eastAsia="zh-CN"/>
        </w:rPr>
        <w:t xml:space="preserve">AI/ML model </w:t>
      </w:r>
      <w:r>
        <w:rPr>
          <w:rFonts w:hint="eastAsia"/>
          <w:sz w:val="20"/>
          <w:szCs w:val="20"/>
        </w:rPr>
        <w:t xml:space="preserve">are also the mixed data samples. </w:t>
      </w:r>
    </w:p>
    <w:p>
      <w:pPr>
        <w:snapToGrid w:val="0"/>
        <w:spacing w:before="72" w:beforeLines="30" w:after="72" w:afterLines="30" w:line="288" w:lineRule="auto"/>
        <w:jc w:val="both"/>
        <w:rPr>
          <w:sz w:val="20"/>
          <w:szCs w:val="20"/>
        </w:rPr>
      </w:pPr>
      <w:r>
        <w:rPr>
          <w:rFonts w:hint="eastAsia"/>
          <w:sz w:val="20"/>
          <w:szCs w:val="20"/>
        </w:rPr>
        <w:t xml:space="preserve">Detailed simulation results of the above six cases are provided in the result collection excel [2]. Some of the </w:t>
      </w:r>
      <w:r>
        <w:rPr>
          <w:rFonts w:hint="eastAsia" w:eastAsia="Times New Roman"/>
          <w:sz w:val="20"/>
          <w:szCs w:val="20"/>
        </w:rPr>
        <w:t xml:space="preserve">simulation results are </w:t>
      </w:r>
      <w:r>
        <w:rPr>
          <w:rFonts w:hint="eastAsia"/>
          <w:sz w:val="20"/>
          <w:szCs w:val="20"/>
        </w:rPr>
        <w:t xml:space="preserve">also </w:t>
      </w:r>
      <w:r>
        <w:rPr>
          <w:rFonts w:hint="eastAsia" w:eastAsia="Times New Roman"/>
          <w:sz w:val="20"/>
          <w:szCs w:val="20"/>
        </w:rPr>
        <w:t xml:space="preserve">provided in </w:t>
      </w:r>
      <w:r>
        <w:rPr>
          <w:rFonts w:hint="eastAsia"/>
          <w:sz w:val="20"/>
          <w:szCs w:val="20"/>
        </w:rPr>
        <w:t xml:space="preserve">the following </w:t>
      </w:r>
      <w:r>
        <w:rPr>
          <w:rFonts w:hint="eastAsia" w:eastAsia="Times New Roman"/>
          <w:sz w:val="20"/>
          <w:szCs w:val="20"/>
        </w:rPr>
        <w:t xml:space="preserve">Table </w:t>
      </w:r>
      <w:r>
        <w:rPr>
          <w:rFonts w:hint="eastAsia"/>
          <w:sz w:val="20"/>
          <w:szCs w:val="20"/>
        </w:rPr>
        <w:t>for reference</w:t>
      </w:r>
      <w:r>
        <w:rPr>
          <w:rFonts w:hint="eastAsia" w:eastAsia="Times New Roman"/>
          <w:sz w:val="20"/>
          <w:szCs w:val="20"/>
        </w:rPr>
        <w:t xml:space="preserve">. </w:t>
      </w:r>
      <w:r>
        <w:rPr>
          <w:rFonts w:hint="eastAsia"/>
          <w:sz w:val="20"/>
          <w:szCs w:val="20"/>
        </w:rPr>
        <w:t xml:space="preserve">As observed, the AI/ML model can achieve better beam prediction performance with UE distribution of 100% outdoor than with UE distribution of 80% indoor and 20% outdoor. Besides, compared with the UE distribution of 100% outdoor, only marginal performance loss is observed if </w:t>
      </w:r>
      <w:r>
        <w:rPr>
          <w:rFonts w:hint="eastAsia" w:eastAsia="Times New Roman"/>
          <w:sz w:val="20"/>
          <w:szCs w:val="20"/>
        </w:rPr>
        <w:t xml:space="preserve">training data </w:t>
      </w:r>
      <w:r>
        <w:rPr>
          <w:rFonts w:hint="eastAsia"/>
          <w:sz w:val="20"/>
          <w:szCs w:val="20"/>
        </w:rPr>
        <w:t>samples</w:t>
      </w:r>
      <w:r>
        <w:rPr>
          <w:rFonts w:hint="eastAsia" w:eastAsia="Times New Roman"/>
          <w:sz w:val="20"/>
          <w:szCs w:val="20"/>
        </w:rPr>
        <w:t xml:space="preserve"> of the AI</w:t>
      </w:r>
      <w:r>
        <w:rPr>
          <w:rFonts w:hint="eastAsia"/>
          <w:sz w:val="20"/>
          <w:szCs w:val="20"/>
        </w:rPr>
        <w:t xml:space="preserve">/ML </w:t>
      </w:r>
      <w:r>
        <w:rPr>
          <w:rFonts w:hint="eastAsia" w:eastAsia="Times New Roman"/>
          <w:sz w:val="20"/>
          <w:szCs w:val="20"/>
        </w:rPr>
        <w:t>model consists of mixed data samples</w:t>
      </w:r>
      <w:r>
        <w:rPr>
          <w:rFonts w:hint="eastAsia"/>
          <w:sz w:val="20"/>
          <w:szCs w:val="20"/>
        </w:rPr>
        <w:t xml:space="preserve">. </w:t>
      </w:r>
      <w:r>
        <w:rPr>
          <w:rFonts w:hint="eastAsia" w:eastAsia="Times New Roman"/>
          <w:sz w:val="20"/>
          <w:szCs w:val="20"/>
        </w:rPr>
        <w:t>Therefore, we can conclude that the AI</w:t>
      </w:r>
      <w:r>
        <w:rPr>
          <w:rFonts w:hint="eastAsia"/>
          <w:sz w:val="20"/>
          <w:szCs w:val="20"/>
        </w:rPr>
        <w:t xml:space="preserve">/ML </w:t>
      </w:r>
      <w:r>
        <w:rPr>
          <w:rFonts w:hint="eastAsia" w:eastAsia="Times New Roman"/>
          <w:sz w:val="20"/>
          <w:szCs w:val="20"/>
        </w:rPr>
        <w:t xml:space="preserve">model can provide good generalization capability on different </w:t>
      </w:r>
      <w:r>
        <w:rPr>
          <w:rFonts w:hint="eastAsia"/>
          <w:sz w:val="20"/>
          <w:szCs w:val="20"/>
        </w:rPr>
        <w:t>UE distributions.</w:t>
      </w:r>
    </w:p>
    <w:p>
      <w:pPr>
        <w:snapToGrid w:val="0"/>
        <w:spacing w:before="72" w:beforeLines="30" w:after="72" w:afterLines="30" w:line="288" w:lineRule="auto"/>
        <w:jc w:val="center"/>
        <w:rPr>
          <w:sz w:val="20"/>
          <w:szCs w:val="20"/>
        </w:rPr>
      </w:pPr>
      <w:r>
        <w:rPr>
          <w:rFonts w:hint="eastAsia" w:eastAsia="Times New Roman"/>
          <w:sz w:val="20"/>
          <w:szCs w:val="20"/>
        </w:rPr>
        <w:t xml:space="preserve">Simulation results for generalization performance evaluation on different </w:t>
      </w:r>
      <w:r>
        <w:rPr>
          <w:rFonts w:hint="eastAsia"/>
          <w:sz w:val="20"/>
          <w:szCs w:val="20"/>
        </w:rPr>
        <w:t>UE distributions</w:t>
      </w:r>
    </w:p>
    <w:tbl>
      <w:tblPr>
        <w:tblStyle w:val="24"/>
        <w:tblW w:w="42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171"/>
        <w:gridCol w:w="1062"/>
        <w:gridCol w:w="1189"/>
        <w:gridCol w:w="1156"/>
        <w:gridCol w:w="1112"/>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90"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Cases</w:t>
            </w:r>
          </w:p>
        </w:tc>
        <w:tc>
          <w:tcPr>
            <w:tcW w:w="715"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Non-AI/AI</w:t>
            </w:r>
          </w:p>
        </w:tc>
        <w:tc>
          <w:tcPr>
            <w:tcW w:w="649" w:type="pct"/>
            <w:tcBorders>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Average L1-RSRP difference of Top-1 predicted beam</w:t>
            </w:r>
          </w:p>
        </w:tc>
        <w:tc>
          <w:tcPr>
            <w:tcW w:w="727"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with 1dB margin for Top-1 beam</w:t>
            </w:r>
          </w:p>
        </w:tc>
        <w:tc>
          <w:tcPr>
            <w:tcW w:w="707"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Top-1 beam</w:t>
            </w:r>
          </w:p>
        </w:tc>
        <w:tc>
          <w:tcPr>
            <w:tcW w:w="680" w:type="pct"/>
            <w:tcBorders>
              <w:left w:val="nil"/>
              <w:right w:val="nil"/>
            </w:tcBorders>
            <w:vAlign w:val="center"/>
          </w:tcPr>
          <w:p>
            <w:pPr>
              <w:widowControl w:val="0"/>
              <w:snapToGrid w:val="0"/>
              <w:spacing w:before="72" w:beforeLines="30" w:after="72" w:afterLines="30" w:line="288" w:lineRule="auto"/>
              <w:contextualSpacing/>
              <w:jc w:val="center"/>
              <w:rPr>
                <w:sz w:val="20"/>
                <w:szCs w:val="20"/>
              </w:rPr>
            </w:pPr>
            <w:r>
              <w:rPr>
                <w:sz w:val="20"/>
                <w:szCs w:val="20"/>
              </w:rPr>
              <w:t>Beam prediction accuracy for Top-</w:t>
            </w:r>
            <w:r>
              <w:rPr>
                <w:rFonts w:hint="eastAsia"/>
                <w:sz w:val="20"/>
                <w:szCs w:val="20"/>
              </w:rPr>
              <w:t>5</w:t>
            </w:r>
            <w:r>
              <w:rPr>
                <w:sz w:val="20"/>
                <w:szCs w:val="20"/>
              </w:rPr>
              <w:t xml:space="preserve"> beams</w:t>
            </w:r>
          </w:p>
        </w:tc>
        <w:tc>
          <w:tcPr>
            <w:tcW w:w="630" w:type="pct"/>
            <w:tcBorders>
              <w:left w:val="nil"/>
            </w:tcBorders>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Predicted L1-RSRP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sz w:val="20"/>
                <w:szCs w:val="20"/>
              </w:rPr>
            </w:pPr>
            <w:r>
              <w:rPr>
                <w:rFonts w:hint="eastAsia"/>
                <w:bCs/>
                <w:sz w:val="20"/>
                <w:szCs w:val="20"/>
              </w:rPr>
              <w:t>Case 1-4-6-1</w:t>
            </w:r>
          </w:p>
        </w:tc>
        <w:tc>
          <w:tcPr>
            <w:tcW w:w="715"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3.304          36.32%           24.98%          24.98%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5" w:type="pct"/>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 xml:space="preserve">0.502          90.74%           81.32%          99.02%           0.232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1-4-6-2</w:t>
            </w: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3.668          35.62%           24.94%          24.94%           3.115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0.268         95.66%           88.82%          99.38%           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1-4-6-3</w:t>
            </w: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 xml:space="preserve">3.304         36.32%           24.98%          24.98%           2.230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 xml:space="preserve">0.686         87.44%           75.56%          98.42%           0.304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1-4-6-4</w:t>
            </w: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 xml:space="preserve">3.304         36.32%           24.98%          24.98%           2.230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715" w:type="pct"/>
            <w:vAlign w:val="center"/>
          </w:tcPr>
          <w:p>
            <w:pPr>
              <w:widowControl w:val="0"/>
              <w:snapToGrid w:val="0"/>
              <w:spacing w:before="72" w:beforeLines="30" w:after="72" w:afterLines="30" w:line="288" w:lineRule="auto"/>
              <w:contextualSpacing/>
              <w:jc w:val="center"/>
              <w:rPr>
                <w:kern w:val="2"/>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0.571         89.74%           79.98%          98.88%           0.267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1-4-6-5</w:t>
            </w:r>
          </w:p>
        </w:tc>
        <w:tc>
          <w:tcPr>
            <w:tcW w:w="1170" w:type="dxa"/>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3.668         35.62%           24.94%          24.94%           3.115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1170" w:type="dxa"/>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0.321         94.92%           88.38%          99.16%           0.189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restart"/>
            <w:vAlign w:val="center"/>
          </w:tcPr>
          <w:p>
            <w:pPr>
              <w:widowControl w:val="0"/>
              <w:snapToGrid w:val="0"/>
              <w:spacing w:before="72" w:beforeLines="30" w:after="72" w:afterLines="30" w:line="288" w:lineRule="auto"/>
              <w:contextualSpacing/>
              <w:jc w:val="center"/>
              <w:rPr>
                <w:bCs/>
                <w:sz w:val="20"/>
                <w:szCs w:val="20"/>
              </w:rPr>
            </w:pPr>
            <w:r>
              <w:rPr>
                <w:rFonts w:hint="eastAsia"/>
                <w:bCs/>
                <w:sz w:val="20"/>
                <w:szCs w:val="20"/>
              </w:rPr>
              <w:t>Case 1-4-6-6</w:t>
            </w:r>
          </w:p>
        </w:tc>
        <w:tc>
          <w:tcPr>
            <w:tcW w:w="1170" w:type="dxa"/>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Non-AI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3.547         36.30%           25.72%          25.72%           2.718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90" w:type="pct"/>
            <w:vMerge w:val="continue"/>
            <w:vAlign w:val="center"/>
          </w:tcPr>
          <w:p>
            <w:pPr>
              <w:widowControl w:val="0"/>
              <w:snapToGrid w:val="0"/>
              <w:spacing w:before="72" w:beforeLines="30" w:after="72" w:afterLines="30" w:line="288" w:lineRule="auto"/>
              <w:contextualSpacing/>
              <w:jc w:val="center"/>
              <w:rPr>
                <w:bCs/>
                <w:sz w:val="20"/>
                <w:szCs w:val="20"/>
                <w:lang w:eastAsia="en-US"/>
              </w:rPr>
            </w:pPr>
          </w:p>
        </w:tc>
        <w:tc>
          <w:tcPr>
            <w:tcW w:w="1170" w:type="dxa"/>
            <w:vAlign w:val="center"/>
          </w:tcPr>
          <w:p>
            <w:pPr>
              <w:widowControl w:val="0"/>
              <w:snapToGrid w:val="0"/>
              <w:spacing w:before="72" w:beforeLines="30" w:after="72" w:afterLines="30" w:line="288" w:lineRule="auto"/>
              <w:contextualSpacing/>
              <w:jc w:val="center"/>
              <w:rPr>
                <w:sz w:val="20"/>
                <w:szCs w:val="20"/>
              </w:rPr>
            </w:pPr>
            <w:r>
              <w:rPr>
                <w:rFonts w:hint="eastAsia"/>
                <w:sz w:val="20"/>
                <w:szCs w:val="20"/>
              </w:rPr>
              <w:t>AI</w:t>
            </w:r>
          </w:p>
        </w:tc>
        <w:tc>
          <w:tcPr>
            <w:tcW w:w="3394" w:type="pct"/>
            <w:gridSpan w:val="5"/>
            <w:vAlign w:val="center"/>
          </w:tcPr>
          <w:p>
            <w:pPr>
              <w:widowControl w:val="0"/>
              <w:snapToGrid w:val="0"/>
              <w:spacing w:before="72" w:beforeLines="30" w:after="72" w:afterLines="30" w:line="288" w:lineRule="auto"/>
              <w:ind w:firstLine="200" w:firstLineChars="100"/>
              <w:contextualSpacing/>
              <w:jc w:val="both"/>
              <w:rPr>
                <w:sz w:val="20"/>
                <w:szCs w:val="20"/>
              </w:rPr>
            </w:pPr>
            <w:r>
              <w:rPr>
                <w:rFonts w:hint="eastAsia"/>
                <w:sz w:val="20"/>
                <w:szCs w:val="20"/>
              </w:rPr>
              <w:t>0.457         92.32%           83.52%          99.08%           0.235</w:t>
            </w:r>
          </w:p>
        </w:tc>
      </w:tr>
    </w:tbl>
    <w:p>
      <w:pPr>
        <w:pStyle w:val="117"/>
        <w:spacing w:before="72" w:after="72"/>
        <w:jc w:val="both"/>
        <w:rPr>
          <w:kern w:val="2"/>
          <w:sz w:val="20"/>
          <w:szCs w:val="20"/>
        </w:rPr>
      </w:pPr>
      <w:r>
        <w:rPr>
          <w:rFonts w:hint="eastAsia" w:eastAsia="宋体"/>
          <w:sz w:val="20"/>
          <w:szCs w:val="20"/>
          <w:lang w:val="en-US" w:eastAsia="zh-CN"/>
        </w:rPr>
        <w:t>The AI/ML model can achieve</w:t>
      </w:r>
      <w:r>
        <w:rPr>
          <w:rFonts w:eastAsia="宋体"/>
          <w:sz w:val="20"/>
          <w:szCs w:val="20"/>
          <w:lang w:val="en-US" w:eastAsia="zh-CN"/>
        </w:rPr>
        <w:t xml:space="preserve"> a</w:t>
      </w:r>
      <w:r>
        <w:rPr>
          <w:rFonts w:hint="eastAsia" w:eastAsia="宋体"/>
          <w:sz w:val="20"/>
          <w:szCs w:val="20"/>
          <w:lang w:val="en-US" w:eastAsia="zh-CN"/>
        </w:rPr>
        <w:t xml:space="preserve"> better beam prediction performance with UE distribution</w:t>
      </w:r>
      <w:r>
        <w:rPr>
          <w:rFonts w:hint="eastAsia"/>
          <w:sz w:val="20"/>
          <w:szCs w:val="20"/>
          <w:lang w:val="en-US" w:eastAsia="zh-CN"/>
        </w:rPr>
        <w:t xml:space="preserve"> of </w:t>
      </w:r>
      <w:r>
        <w:rPr>
          <w:rFonts w:hint="eastAsia" w:eastAsia="宋体"/>
          <w:sz w:val="20"/>
          <w:szCs w:val="20"/>
          <w:lang w:val="en-US" w:eastAsia="zh-CN"/>
        </w:rPr>
        <w:t>100% outdoor than with UE distribution of 80% indoor and 20% outdoor.</w:t>
      </w:r>
    </w:p>
    <w:p>
      <w:pPr>
        <w:pStyle w:val="117"/>
        <w:spacing w:before="72" w:after="72"/>
        <w:jc w:val="both"/>
        <w:rPr>
          <w:kern w:val="2"/>
          <w:sz w:val="20"/>
          <w:szCs w:val="20"/>
        </w:rPr>
      </w:pPr>
      <w:r>
        <w:rPr>
          <w:rFonts w:hint="eastAsia"/>
          <w:kern w:val="2"/>
          <w:sz w:val="20"/>
          <w:szCs w:val="20"/>
          <w:lang w:val="en-US" w:eastAsia="zh-CN"/>
        </w:rPr>
        <w:t>T</w:t>
      </w:r>
      <w:r>
        <w:rPr>
          <w:rFonts w:hint="eastAsia"/>
          <w:kern w:val="2"/>
          <w:sz w:val="20"/>
          <w:szCs w:val="20"/>
        </w:rPr>
        <w:t>he AI</w:t>
      </w:r>
      <w:r>
        <w:rPr>
          <w:rFonts w:hint="eastAsia"/>
          <w:kern w:val="2"/>
          <w:sz w:val="20"/>
          <w:szCs w:val="20"/>
          <w:lang w:val="en-US" w:eastAsia="zh-CN"/>
        </w:rPr>
        <w:t xml:space="preserve">/ML </w:t>
      </w:r>
      <w:r>
        <w:rPr>
          <w:rFonts w:hint="eastAsia"/>
          <w:kern w:val="2"/>
          <w:sz w:val="20"/>
          <w:szCs w:val="20"/>
        </w:rPr>
        <w:t>model can provide</w:t>
      </w:r>
      <w:r>
        <w:rPr>
          <w:kern w:val="2"/>
          <w:sz w:val="20"/>
          <w:szCs w:val="20"/>
        </w:rPr>
        <w:t xml:space="preserve"> a</w:t>
      </w:r>
      <w:r>
        <w:rPr>
          <w:rFonts w:hint="eastAsia"/>
          <w:kern w:val="2"/>
          <w:sz w:val="20"/>
          <w:szCs w:val="20"/>
        </w:rPr>
        <w:t xml:space="preserve"> good generalization capability on different </w:t>
      </w:r>
      <w:r>
        <w:rPr>
          <w:rFonts w:hint="eastAsia"/>
          <w:kern w:val="2"/>
          <w:sz w:val="20"/>
          <w:szCs w:val="20"/>
          <w:lang w:val="en-US" w:eastAsia="zh-CN"/>
        </w:rPr>
        <w:t>UE distributions.</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kern w:val="2"/>
          <w:sz w:val="22"/>
          <w:szCs w:val="28"/>
          <w:lang w:val="en-US"/>
        </w:rPr>
      </w:pPr>
      <w:r>
        <w:rPr>
          <w:rFonts w:hint="eastAsia" w:eastAsia="宋体"/>
          <w:b w:val="0"/>
          <w:bCs w:val="0"/>
          <w:kern w:val="2"/>
          <w:sz w:val="22"/>
          <w:szCs w:val="28"/>
          <w:lang w:val="en-US"/>
        </w:rPr>
        <w:t>Analysis on the predicted L1-RSRP difference</w:t>
      </w:r>
    </w:p>
    <w:p>
      <w:pPr>
        <w:snapToGrid w:val="0"/>
        <w:spacing w:before="72" w:beforeLines="30" w:after="72" w:afterLines="30" w:line="288" w:lineRule="auto"/>
        <w:jc w:val="both"/>
        <w:rPr>
          <w:sz w:val="20"/>
          <w:szCs w:val="20"/>
        </w:rPr>
      </w:pPr>
      <w:r>
        <w:rPr>
          <w:rFonts w:hint="eastAsia"/>
          <w:sz w:val="20"/>
          <w:szCs w:val="20"/>
        </w:rPr>
        <w:t xml:space="preserve">In RAN1#112bis-e, there was a debate on whether/how to </w:t>
      </w:r>
      <w:r>
        <w:rPr>
          <w:sz w:val="20"/>
          <w:szCs w:val="20"/>
          <w:lang w:eastAsia="en-US"/>
        </w:rPr>
        <w:t xml:space="preserve">evaluate the feasibility on the </w:t>
      </w:r>
      <w:r>
        <w:rPr>
          <w:sz w:val="20"/>
          <w:szCs w:val="20"/>
        </w:rPr>
        <w:t>performance metric(s) for AI/ML model monitoring</w:t>
      </w:r>
      <w:r>
        <w:rPr>
          <w:rFonts w:hint="eastAsia"/>
          <w:sz w:val="20"/>
          <w:szCs w:val="20"/>
        </w:rPr>
        <w:t xml:space="preserve"> and the following proposal was initial discussed.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255"/>
                <w:numId w:val="0"/>
              </w:numPr>
              <w:snapToGrid w:val="0"/>
              <w:spacing w:before="72" w:beforeLines="30" w:after="72" w:afterLines="30" w:line="288" w:lineRule="auto"/>
              <w:rPr>
                <w:b/>
                <w:bCs/>
                <w:sz w:val="20"/>
                <w:szCs w:val="20"/>
                <w:u w:val="single"/>
                <w:lang w:eastAsia="en-US"/>
              </w:rPr>
            </w:pPr>
            <w:r>
              <w:rPr>
                <w:rFonts w:hint="eastAsia"/>
                <w:b/>
                <w:bCs/>
                <w:sz w:val="20"/>
                <w:szCs w:val="20"/>
                <w:u w:val="single"/>
              </w:rPr>
              <w:t>Proposal:</w:t>
            </w:r>
          </w:p>
          <w:p>
            <w:pPr>
              <w:widowControl w:val="0"/>
              <w:snapToGrid w:val="0"/>
              <w:spacing w:before="72" w:beforeLines="30" w:after="72" w:afterLines="30" w:line="288" w:lineRule="auto"/>
              <w:rPr>
                <w:sz w:val="20"/>
                <w:szCs w:val="20"/>
                <w:lang w:eastAsia="en-US"/>
              </w:rPr>
            </w:pPr>
            <w:r>
              <w:rPr>
                <w:sz w:val="20"/>
                <w:szCs w:val="20"/>
                <w:lang w:eastAsia="en-US"/>
              </w:rPr>
              <w:t xml:space="preserve">Strive to evaluate the feasibility on the </w:t>
            </w:r>
            <w:r>
              <w:rPr>
                <w:sz w:val="20"/>
                <w:szCs w:val="20"/>
              </w:rPr>
              <w:t>performance metric(s) for AI/ML model monitoring, at least for the following:</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rPr>
            </w:pPr>
            <w:r>
              <w:rPr>
                <w:rFonts w:eastAsia="Batang"/>
                <w:sz w:val="20"/>
                <w:szCs w:val="20"/>
              </w:rPr>
              <w:t xml:space="preserve">Alt.3: Performance metric based on input/output data distribution of AI/ML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rPr>
            </w:pPr>
            <w:r>
              <w:rPr>
                <w:rFonts w:eastAsia="Batang"/>
                <w:sz w:val="20"/>
                <w:szCs w:val="20"/>
              </w:rPr>
              <w:t>Alt.4: The L1-RSRP difference evaluated by comparing measured RSRP and predicted RSRP</w:t>
            </w:r>
          </w:p>
          <w:p>
            <w:pPr>
              <w:numPr>
                <w:ilvl w:val="1"/>
                <w:numId w:val="10"/>
              </w:numPr>
              <w:overflowPunct w:val="0"/>
              <w:autoSpaceDE w:val="0"/>
              <w:autoSpaceDN w:val="0"/>
              <w:adjustRightInd w:val="0"/>
              <w:snapToGrid w:val="0"/>
              <w:spacing w:before="72" w:beforeLines="30" w:after="72" w:afterLines="30" w:line="288" w:lineRule="auto"/>
              <w:contextualSpacing/>
              <w:textAlignment w:val="baseline"/>
              <w:rPr>
                <w:rFonts w:eastAsia="Batang"/>
                <w:sz w:val="20"/>
                <w:szCs w:val="20"/>
              </w:rPr>
            </w:pPr>
            <w:r>
              <w:rPr>
                <w:rFonts w:eastAsia="Batang"/>
                <w:sz w:val="20"/>
                <w:szCs w:val="20"/>
              </w:rPr>
              <w:t xml:space="preserve">FFS on The L1-RSRP difference definition in Alt 4.  </w:t>
            </w:r>
          </w:p>
          <w:p>
            <w:pPr>
              <w:numPr>
                <w:ilvl w:val="0"/>
                <w:numId w:val="10"/>
              </w:numPr>
              <w:overflowPunct w:val="0"/>
              <w:autoSpaceDE w:val="0"/>
              <w:autoSpaceDN w:val="0"/>
              <w:adjustRightInd w:val="0"/>
              <w:snapToGrid w:val="0"/>
              <w:spacing w:before="72" w:beforeLines="30" w:after="72" w:afterLines="30" w:line="288" w:lineRule="auto"/>
              <w:contextualSpacing/>
              <w:textAlignment w:val="baseline"/>
              <w:rPr>
                <w:rFonts w:cs="宋体"/>
                <w:kern w:val="2"/>
                <w:sz w:val="20"/>
                <w:szCs w:val="20"/>
              </w:rPr>
            </w:pPr>
            <w:r>
              <w:rPr>
                <w:rFonts w:eastAsia="Batang"/>
                <w:sz w:val="20"/>
                <w:szCs w:val="20"/>
              </w:rPr>
              <w:t>Note: No potential feasibility issues have been identified for Alt1 and Alt2</w:t>
            </w:r>
          </w:p>
        </w:tc>
      </w:tr>
    </w:tbl>
    <w:p>
      <w:pPr>
        <w:snapToGrid w:val="0"/>
        <w:spacing w:before="72" w:after="72"/>
        <w:jc w:val="both"/>
        <w:rPr>
          <w:sz w:val="20"/>
          <w:szCs w:val="20"/>
        </w:rPr>
      </w:pPr>
      <w:r>
        <w:rPr>
          <w:rFonts w:hint="eastAsia" w:eastAsia="Times New Roman"/>
          <w:sz w:val="20"/>
          <w:szCs w:val="20"/>
        </w:rPr>
        <w:t xml:space="preserve">For Alt.4, the controversial part is whether the predicted L1-RSRP difference can be adopted as </w:t>
      </w:r>
      <w:r>
        <w:rPr>
          <w:sz w:val="20"/>
          <w:szCs w:val="20"/>
          <w:lang w:eastAsia="en-US"/>
        </w:rPr>
        <w:t xml:space="preserve">the </w:t>
      </w:r>
      <w:r>
        <w:rPr>
          <w:sz w:val="20"/>
          <w:szCs w:val="20"/>
        </w:rPr>
        <w:t>performance metric(s) for AI/ML model monitoring</w:t>
      </w:r>
      <w:r>
        <w:rPr>
          <w:rFonts w:hint="eastAsia" w:eastAsia="Times New Roman"/>
          <w:sz w:val="20"/>
          <w:szCs w:val="20"/>
        </w:rPr>
        <w:t>. As can be observed from</w:t>
      </w:r>
      <w:r>
        <w:rPr>
          <w:rFonts w:hint="eastAsia" w:eastAsia="宋体"/>
          <w:sz w:val="20"/>
          <w:szCs w:val="20"/>
          <w:lang w:val="en-US" w:eastAsia="zh-CN"/>
        </w:rPr>
        <w:t xml:space="preserve"> the simulation results in this s</w:t>
      </w:r>
      <w:r>
        <w:rPr>
          <w:rStyle w:val="32"/>
          <w:rFonts w:hint="eastAsia"/>
          <w:sz w:val="20"/>
          <w:szCs w:val="20"/>
          <w:lang w:val="en-US" w:eastAsia="zh-CN"/>
        </w:rPr>
        <w:t xml:space="preserve">ection (from </w:t>
      </w:r>
      <w:r>
        <w:rPr>
          <w:rFonts w:hint="eastAsia" w:eastAsia="宋体"/>
          <w:sz w:val="20"/>
          <w:szCs w:val="20"/>
          <w:lang w:val="en-US" w:eastAsia="zh-CN"/>
        </w:rPr>
        <w:t>Table II to Table XI</w:t>
      </w:r>
      <w:r>
        <w:rPr>
          <w:rStyle w:val="32"/>
          <w:rFonts w:hint="eastAsia"/>
          <w:sz w:val="20"/>
          <w:szCs w:val="20"/>
          <w:lang w:val="en-US" w:eastAsia="zh-CN"/>
        </w:rPr>
        <w:t>)</w:t>
      </w:r>
      <w:r>
        <w:rPr>
          <w:rFonts w:hint="eastAsia" w:eastAsia="Times New Roman"/>
          <w:sz w:val="20"/>
          <w:szCs w:val="20"/>
        </w:rPr>
        <w:t xml:space="preserve">, the performance of </w:t>
      </w:r>
      <w:r>
        <w:rPr>
          <w:rFonts w:eastAsia="Times New Roman"/>
          <w:sz w:val="20"/>
          <w:szCs w:val="20"/>
        </w:rPr>
        <w:t>predicted L1-RSRP</w:t>
      </w:r>
      <w:r>
        <w:rPr>
          <w:rFonts w:hint="eastAsia" w:eastAsia="Times New Roman"/>
          <w:sz w:val="20"/>
          <w:szCs w:val="20"/>
        </w:rPr>
        <w:t xml:space="preserve"> difference shows strong correction with other intermediate KPI (such as the beam prediction accuracy of Top-1/K beam(s)). Although there exists corner cases that lower beam prediction accuracy is associated with lower predicted L1-RSRP difference if the beam prediction accuracy is very close</w:t>
      </w:r>
      <w:r>
        <w:rPr>
          <w:rFonts w:eastAsia="Times New Roman"/>
          <w:sz w:val="20"/>
          <w:szCs w:val="20"/>
        </w:rPr>
        <w:t>.</w:t>
      </w:r>
      <w:r>
        <w:rPr>
          <w:rFonts w:hint="eastAsia" w:eastAsia="Times New Roman"/>
          <w:sz w:val="20"/>
          <w:szCs w:val="20"/>
        </w:rPr>
        <w:t xml:space="preserve"> </w:t>
      </w:r>
      <w:r>
        <w:rPr>
          <w:rFonts w:eastAsia="Times New Roman"/>
          <w:sz w:val="20"/>
          <w:szCs w:val="20"/>
        </w:rPr>
        <w:t>T</w:t>
      </w:r>
      <w:r>
        <w:rPr>
          <w:rFonts w:hint="eastAsia" w:eastAsia="Times New Roman"/>
          <w:sz w:val="20"/>
          <w:szCs w:val="20"/>
        </w:rPr>
        <w:t xml:space="preserve">he </w:t>
      </w:r>
      <w:r>
        <w:rPr>
          <w:rFonts w:eastAsia="Times New Roman"/>
          <w:sz w:val="20"/>
          <w:szCs w:val="20"/>
        </w:rPr>
        <w:t>predicted L1-RSRP</w:t>
      </w:r>
      <w:r>
        <w:rPr>
          <w:rFonts w:hint="eastAsia" w:eastAsia="Times New Roman"/>
          <w:sz w:val="20"/>
          <w:szCs w:val="20"/>
        </w:rPr>
        <w:t xml:space="preserve"> difference is consisten</w:t>
      </w:r>
      <w:r>
        <w:rPr>
          <w:rFonts w:eastAsia="Times New Roman"/>
          <w:sz w:val="20"/>
          <w:szCs w:val="20"/>
        </w:rPr>
        <w:t>t</w:t>
      </w:r>
      <w:r>
        <w:rPr>
          <w:rFonts w:hint="eastAsia" w:eastAsia="Times New Roman"/>
          <w:sz w:val="20"/>
          <w:szCs w:val="20"/>
        </w:rPr>
        <w:t xml:space="preserve"> with the beam prediction accuracy in most cases and thus can well reflect whether the beam is accurately predicted or not. Besides, the mechanism of performance monitoring with Alt.1 and Alt.4 would be similar. Specifically, for Alt.1, a pre-defined threshold can be set for performance monitoring, where the model/functionality failure occurs if the beam prediction accuracy is lower than the pre-defined threshold. With Alt.4, a similar threshold</w:t>
      </w:r>
      <w:r>
        <w:rPr>
          <w:rFonts w:eastAsia="Times New Roman"/>
          <w:sz w:val="20"/>
          <w:szCs w:val="20"/>
        </w:rPr>
        <w:t>-</w:t>
      </w:r>
      <w:r>
        <w:rPr>
          <w:rFonts w:hint="eastAsia" w:eastAsia="Times New Roman"/>
          <w:sz w:val="20"/>
          <w:szCs w:val="20"/>
        </w:rPr>
        <w:t xml:space="preserve">based performance monitoring mechanism can be used due to the strong correlation between Alt.4 and the beam prediction accuracy in Alt.1. Thus, Alt.4 is feasible to be adopted as the </w:t>
      </w:r>
      <w:r>
        <w:rPr>
          <w:sz w:val="20"/>
          <w:szCs w:val="20"/>
        </w:rPr>
        <w:t>performance metri</w:t>
      </w:r>
      <w:r>
        <w:rPr>
          <w:rFonts w:hint="eastAsia"/>
          <w:sz w:val="20"/>
          <w:szCs w:val="20"/>
        </w:rPr>
        <w:t xml:space="preserve">c </w:t>
      </w:r>
      <w:r>
        <w:rPr>
          <w:sz w:val="20"/>
          <w:szCs w:val="20"/>
        </w:rPr>
        <w:t>for AI/ML model monitoring</w:t>
      </w:r>
      <w:r>
        <w:rPr>
          <w:rFonts w:hint="eastAsia"/>
          <w:sz w:val="20"/>
          <w:szCs w:val="20"/>
        </w:rPr>
        <w:t xml:space="preserve">. </w:t>
      </w:r>
    </w:p>
    <w:p>
      <w:pPr>
        <w:pStyle w:val="117"/>
        <w:spacing w:before="72" w:after="72"/>
        <w:jc w:val="both"/>
        <w:rPr>
          <w:kern w:val="2"/>
          <w:sz w:val="20"/>
          <w:szCs w:val="20"/>
          <w:lang w:val="en-US"/>
        </w:rPr>
      </w:pPr>
      <w:r>
        <w:rPr>
          <w:rFonts w:hint="eastAsia"/>
          <w:kern w:val="2"/>
          <w:sz w:val="20"/>
          <w:szCs w:val="20"/>
          <w:lang w:val="en-US" w:eastAsia="zh-CN"/>
        </w:rPr>
        <w:t>T</w:t>
      </w:r>
      <w:r>
        <w:rPr>
          <w:rFonts w:hint="eastAsia" w:eastAsia="Times New Roman" w:cs="Times New Roman"/>
          <w:sz w:val="20"/>
          <w:szCs w:val="20"/>
          <w:lang w:val="en-US" w:eastAsia="zh-CN"/>
        </w:rPr>
        <w:t xml:space="preserve">he performance of </w:t>
      </w:r>
      <w:r>
        <w:rPr>
          <w:rFonts w:eastAsia="Times New Roman" w:cs="Times New Roman"/>
          <w:sz w:val="20"/>
          <w:szCs w:val="20"/>
        </w:rPr>
        <w:t>predicted L1-RSRP</w:t>
      </w:r>
      <w:r>
        <w:rPr>
          <w:rFonts w:hint="eastAsia" w:eastAsia="Times New Roman" w:cs="Times New Roman"/>
          <w:sz w:val="20"/>
          <w:szCs w:val="20"/>
          <w:lang w:val="en-US" w:eastAsia="zh-CN"/>
        </w:rPr>
        <w:t xml:space="preserve"> difference shows strong correction with other intermediate KPI (such as the beam prediction accuracy of Top-1/K beam(s)).</w:t>
      </w:r>
    </w:p>
    <w:p>
      <w:pPr>
        <w:pStyle w:val="35"/>
        <w:spacing w:before="72" w:after="72"/>
        <w:jc w:val="both"/>
        <w:rPr>
          <w:kern w:val="2"/>
          <w:sz w:val="20"/>
          <w:szCs w:val="20"/>
          <w:lang w:val="en-US"/>
        </w:rPr>
      </w:pPr>
      <w:r>
        <w:rPr>
          <w:rFonts w:hint="eastAsia" w:eastAsia="Times New Roman" w:cs="Times New Roman"/>
          <w:sz w:val="20"/>
          <w:szCs w:val="20"/>
          <w:lang w:val="en-US"/>
        </w:rPr>
        <w:t xml:space="preserve">Alt.4 (i.e., </w:t>
      </w:r>
      <w:r>
        <w:rPr>
          <w:rFonts w:hint="eastAsia" w:eastAsia="Batang" w:cs="Times New Roman"/>
          <w:sz w:val="20"/>
          <w:szCs w:val="20"/>
          <w:lang w:val="en-US"/>
        </w:rPr>
        <w:t>t</w:t>
      </w:r>
      <w:r>
        <w:rPr>
          <w:rFonts w:eastAsia="Batang" w:cs="Times New Roman"/>
          <w:sz w:val="20"/>
          <w:szCs w:val="20"/>
          <w:lang w:val="en-US"/>
        </w:rPr>
        <w:t>he L1-RSRP difference evaluated by comparing measured RSRP and predicted RSRP</w:t>
      </w:r>
      <w:r>
        <w:rPr>
          <w:rFonts w:hint="eastAsia" w:eastAsia="Times New Roman" w:cs="Times New Roman"/>
          <w:sz w:val="20"/>
          <w:szCs w:val="20"/>
          <w:lang w:val="en-US"/>
        </w:rPr>
        <w:t xml:space="preserve">) is feasible to be adopted as the </w:t>
      </w:r>
      <w:r>
        <w:rPr>
          <w:rFonts w:cs="Times New Roman"/>
          <w:sz w:val="20"/>
          <w:szCs w:val="20"/>
          <w:lang w:val="en-US"/>
        </w:rPr>
        <w:t>performance metri</w:t>
      </w:r>
      <w:r>
        <w:rPr>
          <w:rFonts w:hint="eastAsia" w:cs="Times New Roman"/>
          <w:sz w:val="20"/>
          <w:szCs w:val="20"/>
          <w:lang w:val="en-US"/>
        </w:rPr>
        <w:t xml:space="preserve">c </w:t>
      </w:r>
      <w:r>
        <w:rPr>
          <w:rFonts w:cs="Times New Roman"/>
          <w:sz w:val="20"/>
          <w:szCs w:val="20"/>
          <w:lang w:val="en-US"/>
        </w:rPr>
        <w:t>for AI/ML model monitoring</w:t>
      </w:r>
      <w:r>
        <w:rPr>
          <w:rFonts w:hint="eastAsia" w:cs="Times New Roman"/>
          <w:sz w:val="20"/>
          <w:szCs w:val="20"/>
          <w:lang w:val="en-US"/>
        </w:rPr>
        <w:t xml:space="preserve">. </w:t>
      </w:r>
    </w:p>
    <w:p>
      <w:pPr>
        <w:snapToGrid w:val="0"/>
        <w:spacing w:before="72" w:beforeLines="30" w:after="72" w:afterLines="30" w:line="288" w:lineRule="auto"/>
        <w:jc w:val="both"/>
        <w:rPr>
          <w:i/>
          <w:iCs/>
          <w:sz w:val="20"/>
          <w:szCs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 xml:space="preserve">Evaluation for temporal beam prediction </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General description:</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In high mobility environment, the task of </w:t>
      </w:r>
      <w:r>
        <w:rPr>
          <w:rFonts w:hint="eastAsia" w:eastAsia="Times New Roman"/>
          <w:sz w:val="20"/>
          <w:szCs w:val="20"/>
        </w:rPr>
        <w:t xml:space="preserve">fast </w:t>
      </w:r>
      <w:r>
        <w:rPr>
          <w:rFonts w:hint="eastAsia" w:eastAsia="Times New Roman"/>
          <w:sz w:val="20"/>
          <w:szCs w:val="20"/>
          <w:lang w:val="en-GB"/>
        </w:rPr>
        <w:t xml:space="preserve">beam </w:t>
      </w:r>
      <w:r>
        <w:rPr>
          <w:rFonts w:hint="eastAsia" w:eastAsia="Times New Roman"/>
          <w:sz w:val="20"/>
          <w:szCs w:val="20"/>
        </w:rPr>
        <w:t>tracking is</w:t>
      </w:r>
      <w:r>
        <w:rPr>
          <w:rFonts w:hint="eastAsia" w:eastAsia="Times New Roman"/>
          <w:sz w:val="20"/>
          <w:szCs w:val="20"/>
          <w:lang w:val="en-GB"/>
        </w:rPr>
        <w:t xml:space="preserve"> more challenging. A typical way for beam </w:t>
      </w:r>
      <w:r>
        <w:rPr>
          <w:rFonts w:hint="eastAsia" w:eastAsia="Times New Roman"/>
          <w:sz w:val="20"/>
          <w:szCs w:val="20"/>
        </w:rPr>
        <w:t xml:space="preserve">tracking </w:t>
      </w:r>
      <w:r>
        <w:rPr>
          <w:rFonts w:hint="eastAsia" w:eastAsia="Times New Roman"/>
          <w:sz w:val="20"/>
          <w:szCs w:val="20"/>
          <w:lang w:val="en-GB"/>
        </w:rPr>
        <w:t xml:space="preserve">is periodic measurement and reporting, which introduces significant overhead that scales with the number of beams. Therefore, we utilize AI/ML </w:t>
      </w:r>
      <w:r>
        <w:rPr>
          <w:rFonts w:hint="eastAsia" w:eastAsia="Times New Roman"/>
          <w:sz w:val="20"/>
          <w:szCs w:val="20"/>
        </w:rPr>
        <w:t xml:space="preserve">technology </w:t>
      </w:r>
      <w:r>
        <w:rPr>
          <w:rFonts w:hint="eastAsia" w:eastAsia="Times New Roman"/>
          <w:sz w:val="20"/>
          <w:szCs w:val="20"/>
          <w:lang w:val="en-GB"/>
        </w:rPr>
        <w:t xml:space="preserve">to realize temporal beam prediction in this section. Specifically, recurrent neutral network is leveraged to implement the temporal beam prediction with assumption of a simple UE mobility pattern with random direction straight-line trajectories. The measured RSRPs of all </w:t>
      </w:r>
      <w:r>
        <w:rPr>
          <w:rFonts w:hint="eastAsia" w:eastAsia="Times New Roman"/>
          <w:sz w:val="20"/>
          <w:szCs w:val="20"/>
        </w:rPr>
        <w:t xml:space="preserve">or partial </w:t>
      </w:r>
      <w:r>
        <w:rPr>
          <w:rFonts w:hint="eastAsia" w:eastAsia="Times New Roman"/>
          <w:sz w:val="20"/>
          <w:szCs w:val="20"/>
          <w:lang w:val="en-GB"/>
        </w:rPr>
        <w:t>DL beams</w:t>
      </w:r>
      <w:r>
        <w:rPr>
          <w:rFonts w:hint="eastAsia"/>
          <w:sz w:val="20"/>
          <w:szCs w:val="20"/>
        </w:rPr>
        <w:t xml:space="preserve"> (or beam pairs)</w:t>
      </w:r>
      <w:r>
        <w:rPr>
          <w:rFonts w:hint="eastAsia" w:eastAsia="Times New Roman"/>
          <w:sz w:val="20"/>
          <w:szCs w:val="20"/>
          <w:lang w:val="en-GB"/>
        </w:rPr>
        <w:t xml:space="preserve"> of some past time instances are used as the AI/ML</w:t>
      </w:r>
      <w:r>
        <w:rPr>
          <w:rFonts w:hint="eastAsia"/>
          <w:sz w:val="20"/>
          <w:szCs w:val="20"/>
          <w:lang w:val="en-US" w:eastAsia="zh-CN"/>
        </w:rPr>
        <w:t xml:space="preserve"> </w:t>
      </w:r>
      <w:r>
        <w:rPr>
          <w:rFonts w:hint="eastAsia" w:eastAsia="Times New Roman"/>
          <w:sz w:val="20"/>
          <w:szCs w:val="20"/>
          <w:lang w:val="en-GB"/>
        </w:rPr>
        <w:t>input and the predicted RSRPs of all DL beams</w:t>
      </w:r>
      <w:r>
        <w:rPr>
          <w:rFonts w:hint="eastAsia"/>
          <w:sz w:val="20"/>
          <w:szCs w:val="20"/>
        </w:rPr>
        <w:t xml:space="preserve"> (or beam pairs)</w:t>
      </w:r>
      <w:r>
        <w:rPr>
          <w:rFonts w:hint="eastAsia" w:eastAsia="Times New Roman"/>
          <w:sz w:val="20"/>
          <w:szCs w:val="20"/>
          <w:lang w:val="en-GB"/>
        </w:rPr>
        <w:t xml:space="preserve"> of </w:t>
      </w:r>
      <w:r>
        <w:rPr>
          <w:rFonts w:hint="eastAsia"/>
          <w:sz w:val="20"/>
          <w:szCs w:val="20"/>
        </w:rPr>
        <w:t xml:space="preserve">multiple </w:t>
      </w:r>
      <w:r>
        <w:rPr>
          <w:rFonts w:hint="eastAsia" w:eastAsia="Times New Roman"/>
          <w:sz w:val="20"/>
          <w:szCs w:val="20"/>
          <w:lang w:val="en-GB"/>
        </w:rPr>
        <w:t>future time instances are used as the AI/ML</w:t>
      </w:r>
      <w:r>
        <w:rPr>
          <w:rFonts w:hint="eastAsia"/>
          <w:sz w:val="20"/>
          <w:szCs w:val="20"/>
          <w:lang w:val="en-US" w:eastAsia="zh-CN"/>
        </w:rPr>
        <w:t xml:space="preserve"> </w:t>
      </w:r>
      <w:r>
        <w:rPr>
          <w:rFonts w:hint="eastAsia" w:eastAsia="Times New Roman"/>
          <w:sz w:val="20"/>
          <w:szCs w:val="20"/>
          <w:lang w:val="en-GB"/>
        </w:rPr>
        <w:t>output. That is, the beam set for measurement and the beam set for prediction are the same</w:t>
      </w:r>
      <w:r>
        <w:rPr>
          <w:rFonts w:hint="eastAsia" w:eastAsia="Times New Roman"/>
          <w:sz w:val="20"/>
          <w:szCs w:val="20"/>
        </w:rPr>
        <w:t>, or the beam set for measurement is a subset of the beam set for prediction</w:t>
      </w:r>
      <w:r>
        <w:rPr>
          <w:rFonts w:hint="eastAsia" w:eastAsia="Times New Roman"/>
          <w:sz w:val="20"/>
          <w:szCs w:val="20"/>
          <w:lang w:val="en-GB"/>
        </w:rPr>
        <w:t xml:space="preserve">. Besides, for each time instance within the prediction window, Top-K beams predicted by the adopted </w:t>
      </w:r>
      <w:r>
        <w:rPr>
          <w:rFonts w:hint="eastAsia"/>
          <w:sz w:val="20"/>
          <w:szCs w:val="20"/>
          <w:lang w:val="en-GB" w:eastAsia="zh-CN"/>
        </w:rPr>
        <w:t xml:space="preserve">AI/ML model </w:t>
      </w:r>
      <w:r>
        <w:rPr>
          <w:rFonts w:hint="eastAsia" w:eastAsia="Times New Roman"/>
          <w:sz w:val="20"/>
          <w:szCs w:val="20"/>
          <w:lang w:val="en-GB"/>
        </w:rPr>
        <w:t xml:space="preserve">may </w:t>
      </w:r>
      <w:r>
        <w:rPr>
          <w:rFonts w:hint="eastAsia"/>
          <w:sz w:val="20"/>
          <w:szCs w:val="20"/>
        </w:rPr>
        <w:t xml:space="preserve">or may not </w:t>
      </w:r>
      <w:r>
        <w:rPr>
          <w:rFonts w:hint="eastAsia" w:eastAsia="Times New Roman"/>
          <w:sz w:val="20"/>
          <w:szCs w:val="20"/>
          <w:lang w:val="en-GB"/>
        </w:rPr>
        <w:t>be used for a refined beam sweeping.</w:t>
      </w:r>
    </w:p>
    <w:p>
      <w:pPr>
        <w:snapToGrid w:val="0"/>
        <w:spacing w:before="120" w:after="0" w:line="240" w:lineRule="auto"/>
        <w:jc w:val="center"/>
      </w:pPr>
      <w:r>
        <w:rPr>
          <w:rFonts w:hint="eastAsia"/>
        </w:rPr>
        <w:drawing>
          <wp:inline distT="0" distB="0" distL="114300" distR="114300">
            <wp:extent cx="3605530" cy="3058160"/>
            <wp:effectExtent l="0" t="0" r="6350" b="0"/>
            <wp:docPr id="8" name="图片 8" descr="temporal beam predi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emporal beam prediction"/>
                    <pic:cNvPicPr>
                      <a:picLocks noChangeAspect="1"/>
                    </pic:cNvPicPr>
                  </pic:nvPicPr>
                  <pic:blipFill>
                    <a:blip r:embed="rId22"/>
                    <a:stretch>
                      <a:fillRect/>
                    </a:stretch>
                  </pic:blipFill>
                  <pic:spPr>
                    <a:xfrm>
                      <a:off x="0" y="0"/>
                      <a:ext cx="3605530" cy="3058160"/>
                    </a:xfrm>
                    <a:prstGeom prst="rect">
                      <a:avLst/>
                    </a:prstGeom>
                  </pic:spPr>
                </pic:pic>
              </a:graphicData>
            </a:graphic>
          </wp:inline>
        </w:drawing>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 xml:space="preserve">Figure </w:t>
      </w:r>
      <w:r>
        <w:rPr>
          <w:rFonts w:hint="eastAsia"/>
          <w:sz w:val="20"/>
          <w:szCs w:val="20"/>
        </w:rPr>
        <w:t>3</w:t>
      </w:r>
      <w:r>
        <w:rPr>
          <w:rFonts w:hint="eastAsia" w:eastAsia="Times New Roman"/>
          <w:sz w:val="20"/>
          <w:szCs w:val="20"/>
          <w:lang w:val="en-GB"/>
        </w:rPr>
        <w:t>-1. Illustration of AI/ML based temporal beam prediction.</w:t>
      </w:r>
    </w:p>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Dataset construction:</w:t>
      </w:r>
    </w:p>
    <w:p>
      <w:pPr>
        <w:snapToGrid w:val="0"/>
        <w:spacing w:before="72" w:beforeLines="30" w:after="72" w:afterLines="30" w:line="288" w:lineRule="auto"/>
        <w:jc w:val="both"/>
        <w:rPr>
          <w:sz w:val="20"/>
          <w:szCs w:val="20"/>
        </w:rPr>
      </w:pPr>
      <w:r>
        <w:rPr>
          <w:rFonts w:hint="eastAsia" w:eastAsia="Times New Roman"/>
          <w:sz w:val="20"/>
          <w:szCs w:val="20"/>
          <w:lang w:val="en-GB"/>
        </w:rPr>
        <w:t xml:space="preserve">The dataset for </w:t>
      </w:r>
      <w:r>
        <w:rPr>
          <w:rFonts w:hint="eastAsia"/>
          <w:sz w:val="20"/>
          <w:szCs w:val="20"/>
          <w:lang w:val="en-GB" w:eastAsia="zh-CN"/>
        </w:rPr>
        <w:t xml:space="preserve">AI/ML model </w:t>
      </w:r>
      <w:r>
        <w:rPr>
          <w:rFonts w:hint="eastAsia" w:eastAsia="Times New Roman"/>
          <w:sz w:val="20"/>
          <w:szCs w:val="20"/>
          <w:lang w:val="en-GB"/>
        </w:rPr>
        <w:t xml:space="preserve">training and evaluation is generated according to the agreed parameters in </w:t>
      </w:r>
      <w:r>
        <w:rPr>
          <w:rFonts w:hint="eastAsia" w:eastAsia="Times New Roman"/>
          <w:sz w:val="20"/>
          <w:szCs w:val="20"/>
        </w:rPr>
        <w:t>RAN1#109-e</w:t>
      </w:r>
      <w:r>
        <w:rPr>
          <w:rFonts w:hint="eastAsia" w:eastAsia="Times New Roman"/>
          <w:sz w:val="20"/>
          <w:szCs w:val="20"/>
          <w:lang w:val="en-GB"/>
        </w:rPr>
        <w:t xml:space="preserve">, which is summarized in Table I in the appendix. Specifically, </w:t>
      </w:r>
      <w:r>
        <w:rPr>
          <w:rFonts w:hint="eastAsia" w:eastAsia="Times New Roman"/>
          <w:sz w:val="20"/>
          <w:szCs w:val="20"/>
        </w:rPr>
        <w:t>one UE</w:t>
      </w:r>
      <w:r>
        <w:rPr>
          <w:rFonts w:hint="eastAsia" w:eastAsia="Times New Roman"/>
          <w:sz w:val="20"/>
          <w:szCs w:val="20"/>
          <w:lang w:val="en-GB"/>
        </w:rPr>
        <w:t xml:space="preserve"> per sector per drop </w:t>
      </w:r>
      <w:r>
        <w:rPr>
          <w:rFonts w:hint="eastAsia" w:eastAsia="Times New Roman"/>
          <w:sz w:val="20"/>
          <w:szCs w:val="20"/>
        </w:rPr>
        <w:t xml:space="preserve">is </w:t>
      </w:r>
      <w:r>
        <w:rPr>
          <w:rFonts w:hint="eastAsia" w:eastAsia="Times New Roman"/>
          <w:sz w:val="20"/>
          <w:szCs w:val="20"/>
          <w:lang w:val="en-GB"/>
        </w:rPr>
        <w:t xml:space="preserve">randomly generated with a total of </w:t>
      </w:r>
      <w:r>
        <w:rPr>
          <w:rFonts w:hint="eastAsia" w:eastAsia="Times New Roman"/>
          <w:sz w:val="20"/>
          <w:szCs w:val="20"/>
        </w:rPr>
        <w:t>20</w:t>
      </w:r>
      <w:r>
        <w:rPr>
          <w:rFonts w:hint="eastAsia" w:eastAsia="Times New Roman"/>
          <w:sz w:val="20"/>
          <w:szCs w:val="20"/>
          <w:lang w:val="en-GB"/>
        </w:rPr>
        <w:t xml:space="preserve"> simulation drops. For antenna configuration, the baseline agreed in RAN#1</w:t>
      </w:r>
      <w:r>
        <w:rPr>
          <w:rFonts w:hint="eastAsia"/>
          <w:sz w:val="20"/>
          <w:szCs w:val="20"/>
        </w:rPr>
        <w:t>10bis-e</w:t>
      </w:r>
      <w:r>
        <w:rPr>
          <w:rFonts w:hint="eastAsia" w:eastAsia="Times New Roman"/>
          <w:sz w:val="20"/>
          <w:szCs w:val="20"/>
          <w:lang w:val="en-GB"/>
        </w:rPr>
        <w:t xml:space="preserve"> is adopted directly, where a single panel with (M, N, P, Mg, Ng) = (4, 8, 2, 1, 1), (dV, dH) = (0.5, 0.5)</w:t>
      </w:r>
      <w:r>
        <w:rPr>
          <w:rFonts w:eastAsia="Times New Roman"/>
          <w:sz w:val="20"/>
          <w:szCs w:val="20"/>
          <w:lang w:val="en-GB"/>
        </w:rPr>
        <w:t xml:space="preserve"> </w:t>
      </w:r>
      <w:r>
        <w:rPr>
          <w:rFonts w:hint="eastAsia" w:eastAsia="Times New Roman"/>
          <w:sz w:val="20"/>
          <w:szCs w:val="20"/>
          <w:lang w:val="en-GB"/>
        </w:rPr>
        <w:t xml:space="preserve">λ and 2 panels with (M, N, P, Mg, Ng) = (1, 4, 2, 1, 2) are used by the gNB and UE, respectively. Besides, the gNB and UE are equipped with </w:t>
      </w:r>
      <w:r>
        <w:rPr>
          <w:rFonts w:hint="eastAsia" w:eastAsia="Times New Roman"/>
          <w:sz w:val="20"/>
          <w:szCs w:val="20"/>
        </w:rPr>
        <w:t>32</w:t>
      </w:r>
      <w:r>
        <w:rPr>
          <w:rFonts w:hint="eastAsia" w:eastAsia="Times New Roman"/>
          <w:sz w:val="20"/>
          <w:szCs w:val="20"/>
          <w:lang w:val="en-GB"/>
        </w:rPr>
        <w:t xml:space="preserve"> Tx beams in total and 4 Rx beams per panel, respectively.</w:t>
      </w:r>
      <w:r>
        <w:rPr>
          <w:rFonts w:hint="eastAsia"/>
          <w:sz w:val="20"/>
          <w:szCs w:val="20"/>
        </w:rPr>
        <w:t xml:space="preserve"> In addition, more </w:t>
      </w:r>
      <w:r>
        <w:rPr>
          <w:rFonts w:eastAsia="Times New Roman"/>
          <w:sz w:val="20"/>
          <w:szCs w:val="20"/>
          <w:lang w:val="en-GB"/>
        </w:rPr>
        <w:t>simulation</w:t>
      </w:r>
      <w:r>
        <w:rPr>
          <w:rFonts w:hint="eastAsia" w:eastAsia="Times New Roman"/>
          <w:sz w:val="20"/>
          <w:szCs w:val="20"/>
          <w:lang w:val="en-GB"/>
        </w:rPr>
        <w:t xml:space="preserve"> assumptions for the temporal beam prediction</w:t>
      </w:r>
      <w:r>
        <w:rPr>
          <w:rFonts w:hint="eastAsia"/>
          <w:sz w:val="20"/>
          <w:szCs w:val="20"/>
        </w:rPr>
        <w:t xml:space="preserve"> are summarized in Table </w:t>
      </w:r>
      <w:r>
        <w:rPr>
          <w:rFonts w:hint="eastAsia" w:eastAsia="Times New Roman"/>
          <w:sz w:val="20"/>
          <w:szCs w:val="20"/>
        </w:rPr>
        <w:fldChar w:fldCharType="begin"/>
      </w:r>
      <w:r>
        <w:rPr>
          <w:rFonts w:hint="eastAsia" w:eastAsia="Times New Roman"/>
          <w:sz w:val="20"/>
          <w:szCs w:val="20"/>
        </w:rPr>
        <w:instrText xml:space="preserve"> = 12 \* ROMAN \* MERGEFORMAT </w:instrText>
      </w:r>
      <w:r>
        <w:rPr>
          <w:rFonts w:hint="eastAsia" w:eastAsia="Times New Roman"/>
          <w:sz w:val="20"/>
          <w:szCs w:val="20"/>
        </w:rPr>
        <w:fldChar w:fldCharType="separate"/>
      </w:r>
      <w:r>
        <w:rPr>
          <w:rFonts w:hint="eastAsia" w:eastAsia="Times New Roman"/>
          <w:sz w:val="20"/>
          <w:szCs w:val="20"/>
        </w:rPr>
        <w:t>XII</w:t>
      </w:r>
      <w:r>
        <w:rPr>
          <w:rFonts w:hint="eastAsia" w:eastAsia="Times New Roman"/>
          <w:sz w:val="20"/>
          <w:szCs w:val="20"/>
        </w:rPr>
        <w:fldChar w:fldCharType="end"/>
      </w:r>
      <w:r>
        <w:rPr>
          <w:rFonts w:hint="eastAsia"/>
          <w:sz w:val="20"/>
          <w:szCs w:val="20"/>
        </w:rPr>
        <w:t xml:space="preserve">. </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For temporal beam prediction, the random direction straight-line trajectories in Option #4 is adopted for modelling UE mobility, which means that multiple UEs are randomly dropped in multiple cells and move in a straight</w:t>
      </w:r>
      <w:r>
        <w:rPr>
          <w:rFonts w:eastAsia="Times New Roman"/>
          <w:sz w:val="20"/>
          <w:szCs w:val="20"/>
          <w:lang w:val="en-GB"/>
        </w:rPr>
        <w:t>-</w:t>
      </w:r>
      <w:r>
        <w:rPr>
          <w:rFonts w:hint="eastAsia" w:eastAsia="Times New Roman"/>
          <w:sz w:val="20"/>
          <w:szCs w:val="20"/>
          <w:lang w:val="en-GB"/>
        </w:rPr>
        <w:t xml:space="preserve">line trajectory along an initially random direction with fixed speed. </w:t>
      </w:r>
      <w:r>
        <w:rPr>
          <w:rFonts w:hint="eastAsia" w:eastAsia="Times New Roman"/>
          <w:sz w:val="20"/>
          <w:szCs w:val="20"/>
        </w:rPr>
        <w:t xml:space="preserve">More details about Option #4 is provided in the appendix for reference. Compared with other UE trajectory options, </w:t>
      </w:r>
      <w:r>
        <w:rPr>
          <w:rFonts w:hint="eastAsia" w:eastAsia="Times New Roman"/>
          <w:sz w:val="20"/>
          <w:szCs w:val="20"/>
          <w:lang w:val="en-GB"/>
        </w:rPr>
        <w:t>Option #4 is simpler</w:t>
      </w:r>
      <w:r>
        <w:rPr>
          <w:rFonts w:hint="eastAsia" w:eastAsia="Times New Roman"/>
          <w:sz w:val="20"/>
          <w:szCs w:val="20"/>
        </w:rPr>
        <w:t xml:space="preserve"> </w:t>
      </w:r>
      <w:r>
        <w:rPr>
          <w:rFonts w:hint="eastAsia" w:eastAsia="Times New Roman"/>
          <w:sz w:val="20"/>
          <w:szCs w:val="20"/>
          <w:lang w:val="en-GB"/>
        </w:rPr>
        <w:t xml:space="preserve">and beneficial for </w:t>
      </w:r>
      <w:r>
        <w:rPr>
          <w:rFonts w:hint="eastAsia"/>
          <w:sz w:val="20"/>
          <w:szCs w:val="20"/>
          <w:lang w:val="en-GB" w:eastAsia="zh-CN"/>
        </w:rPr>
        <w:t xml:space="preserve">AI/ML model </w:t>
      </w:r>
      <w:r>
        <w:rPr>
          <w:rFonts w:hint="eastAsia" w:eastAsia="Times New Roman"/>
          <w:sz w:val="20"/>
          <w:szCs w:val="20"/>
          <w:lang w:val="en-GB"/>
        </w:rPr>
        <w:t xml:space="preserve">generalization. The modelling of UE orientation and rotation may cause the adopted </w:t>
      </w:r>
      <w:r>
        <w:rPr>
          <w:rFonts w:hint="eastAsia"/>
          <w:sz w:val="20"/>
          <w:szCs w:val="20"/>
          <w:lang w:val="en-GB" w:eastAsia="zh-CN"/>
        </w:rPr>
        <w:t xml:space="preserve">AI/ML model </w:t>
      </w:r>
      <w:r>
        <w:rPr>
          <w:rFonts w:hint="eastAsia" w:eastAsia="Times New Roman"/>
          <w:sz w:val="20"/>
          <w:szCs w:val="20"/>
          <w:lang w:val="en-GB"/>
        </w:rPr>
        <w:t>to be overly complex with excessive training overhead. Thus, it has not been considered for the time being for simplicity. Additionally, spatial consistency procedure B in TR38.901 is modeled along the mobility trajectory to ensure that propagation parameters maintain continuity across multiple realizations.</w:t>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 xml:space="preserve">Table </w:t>
      </w:r>
      <w:r>
        <w:rPr>
          <w:rFonts w:hint="eastAsia" w:eastAsia="Times New Roman"/>
          <w:sz w:val="20"/>
          <w:szCs w:val="20"/>
        </w:rPr>
        <w:fldChar w:fldCharType="begin"/>
      </w:r>
      <w:r>
        <w:rPr>
          <w:rFonts w:hint="eastAsia" w:eastAsia="Times New Roman"/>
          <w:sz w:val="20"/>
          <w:szCs w:val="20"/>
        </w:rPr>
        <w:instrText xml:space="preserve"> = 12 \* ROMAN \* MERGEFORMAT </w:instrText>
      </w:r>
      <w:r>
        <w:rPr>
          <w:rFonts w:hint="eastAsia" w:eastAsia="Times New Roman"/>
          <w:sz w:val="20"/>
          <w:szCs w:val="20"/>
        </w:rPr>
        <w:fldChar w:fldCharType="separate"/>
      </w:r>
      <w:r>
        <w:rPr>
          <w:rFonts w:hint="eastAsia" w:eastAsia="Times New Roman"/>
          <w:sz w:val="20"/>
          <w:szCs w:val="20"/>
        </w:rPr>
        <w:t>XII</w:t>
      </w:r>
      <w:r>
        <w:rPr>
          <w:rFonts w:hint="eastAsia" w:eastAsia="Times New Roman"/>
          <w:sz w:val="20"/>
          <w:szCs w:val="20"/>
        </w:rPr>
        <w:fldChar w:fldCharType="end"/>
      </w:r>
      <w:r>
        <w:rPr>
          <w:rFonts w:hint="eastAsia" w:eastAsia="Times New Roman"/>
          <w:sz w:val="20"/>
          <w:szCs w:val="20"/>
          <w:lang w:val="en-GB"/>
        </w:rPr>
        <w:t>. Simulation assumptions for the temporal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4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rFonts w:eastAsia="微软雅黑"/>
                <w:sz w:val="20"/>
                <w:szCs w:val="20"/>
              </w:rPr>
            </w:pPr>
            <w:r>
              <w:rPr>
                <w:sz w:val="20"/>
                <w:szCs w:val="20"/>
              </w:rPr>
              <w:t>UE distribution</w:t>
            </w:r>
          </w:p>
        </w:tc>
        <w:tc>
          <w:tcPr>
            <w:tcW w:w="4392" w:type="dxa"/>
            <w:vAlign w:val="center"/>
          </w:tcPr>
          <w:p>
            <w:pPr>
              <w:snapToGrid w:val="0"/>
              <w:spacing w:before="72" w:beforeLines="30" w:after="72" w:afterLines="30" w:line="288" w:lineRule="auto"/>
              <w:jc w:val="center"/>
              <w:rPr>
                <w:rFonts w:eastAsia="微软雅黑"/>
                <w:sz w:val="20"/>
                <w:szCs w:val="20"/>
              </w:rPr>
            </w:pPr>
            <w:r>
              <w:rPr>
                <w:rFonts w:hint="eastAsia" w:eastAsia="微软雅黑"/>
                <w:sz w:val="20"/>
                <w:szCs w:val="20"/>
              </w:rPr>
              <w:t>1</w:t>
            </w:r>
            <w:r>
              <w:rPr>
                <w:rFonts w:eastAsia="微软雅黑"/>
                <w:sz w:val="20"/>
                <w:szCs w:val="20"/>
              </w:rPr>
              <w:t xml:space="preserve"> UE</w:t>
            </w:r>
            <w:r>
              <w:rPr>
                <w:rFonts w:hint="eastAsia" w:eastAsia="微软雅黑"/>
                <w:sz w:val="20"/>
                <w:szCs w:val="20"/>
              </w:rPr>
              <w:t xml:space="preserve"> </w:t>
            </w:r>
            <w:r>
              <w:rPr>
                <w:rFonts w:eastAsia="微软雅黑"/>
                <w:sz w:val="20"/>
                <w:szCs w:val="20"/>
              </w:rPr>
              <w:t>per sector per drop</w:t>
            </w:r>
            <w:r>
              <w:rPr>
                <w:rFonts w:hint="eastAsia" w:eastAsia="微软雅黑"/>
                <w:sz w:val="20"/>
                <w:szCs w:val="20"/>
              </w:rPr>
              <w:t xml:space="preserve"> </w:t>
            </w:r>
            <w:r>
              <w:rPr>
                <w:rFonts w:eastAsia="微软雅黑"/>
                <w:sz w:val="20"/>
                <w:szCs w:val="20"/>
              </w:rPr>
              <w:t xml:space="preserve">with a total of </w:t>
            </w:r>
            <w:r>
              <w:rPr>
                <w:rFonts w:hint="eastAsia" w:eastAsia="微软雅黑"/>
                <w:sz w:val="20"/>
                <w:szCs w:val="20"/>
              </w:rPr>
              <w:t>21 sectors and 20</w:t>
            </w:r>
            <w:r>
              <w:rPr>
                <w:rFonts w:eastAsia="微软雅黑"/>
                <w:sz w:val="20"/>
                <w:szCs w:val="20"/>
              </w:rPr>
              <w:t xml:space="preserve"> simulation drops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sz w:val="20"/>
                <w:szCs w:val="20"/>
              </w:rPr>
            </w:pPr>
            <w:r>
              <w:rPr>
                <w:rFonts w:hint="eastAsia"/>
                <w:sz w:val="20"/>
                <w:szCs w:val="20"/>
              </w:rPr>
              <w:t>TTI number per simulation drop</w:t>
            </w:r>
          </w:p>
        </w:tc>
        <w:tc>
          <w:tcPr>
            <w:tcW w:w="4392" w:type="dxa"/>
            <w:vAlign w:val="center"/>
          </w:tcPr>
          <w:p>
            <w:pPr>
              <w:snapToGrid w:val="0"/>
              <w:spacing w:before="72" w:beforeLines="30" w:after="72" w:afterLines="30" w:line="288" w:lineRule="auto"/>
              <w:jc w:val="center"/>
              <w:rPr>
                <w:rFonts w:eastAsia="微软雅黑"/>
                <w:sz w:val="20"/>
                <w:szCs w:val="20"/>
              </w:rPr>
            </w:pPr>
            <w:r>
              <w:rPr>
                <w:rFonts w:hint="eastAsia" w:eastAsia="微软雅黑"/>
                <w:sz w:val="20"/>
                <w:szCs w:val="20"/>
              </w:rPr>
              <w:t>150000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rFonts w:eastAsia="微软雅黑"/>
                <w:sz w:val="20"/>
                <w:szCs w:val="20"/>
              </w:rPr>
            </w:pPr>
            <w:r>
              <w:rPr>
                <w:rFonts w:eastAsia="微软雅黑"/>
                <w:sz w:val="20"/>
                <w:szCs w:val="20"/>
              </w:rPr>
              <w:t>BS Antenna Configuration</w:t>
            </w:r>
          </w:p>
        </w:tc>
        <w:tc>
          <w:tcPr>
            <w:tcW w:w="4392" w:type="dxa"/>
            <w:vAlign w:val="center"/>
          </w:tcPr>
          <w:p>
            <w:pPr>
              <w:snapToGrid w:val="0"/>
              <w:spacing w:before="72" w:beforeLines="30" w:after="72" w:afterLines="30" w:line="288" w:lineRule="auto"/>
              <w:jc w:val="center"/>
              <w:rPr>
                <w:rFonts w:eastAsia="微软雅黑"/>
                <w:sz w:val="20"/>
                <w:szCs w:val="20"/>
              </w:rPr>
            </w:pPr>
            <w:r>
              <w:rPr>
                <w:sz w:val="20"/>
                <w:szCs w:val="20"/>
              </w:rPr>
              <w:t>One panel:</w:t>
            </w:r>
            <w:r>
              <w:rPr>
                <w:rFonts w:eastAsia="微软雅黑"/>
                <w:sz w:val="20"/>
                <w:szCs w:val="20"/>
              </w:rPr>
              <w:t xml:space="preserve"> (M, N, P, Mg, Ng) = (4, 8, 2, 1, 1), (dV, dH) = (0.5, 0.5) 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rFonts w:eastAsia="微软雅黑"/>
                <w:sz w:val="20"/>
                <w:szCs w:val="20"/>
              </w:rPr>
            </w:pPr>
            <w:r>
              <w:rPr>
                <w:rFonts w:eastAsia="微软雅黑"/>
                <w:sz w:val="20"/>
                <w:szCs w:val="20"/>
              </w:rPr>
              <w:t>UE Antenna Configuration</w:t>
            </w:r>
          </w:p>
        </w:tc>
        <w:tc>
          <w:tcPr>
            <w:tcW w:w="4392" w:type="dxa"/>
            <w:vAlign w:val="center"/>
          </w:tcPr>
          <w:p>
            <w:pPr>
              <w:snapToGrid w:val="0"/>
              <w:spacing w:before="72" w:beforeLines="30" w:after="72" w:afterLines="30" w:line="288" w:lineRule="auto"/>
              <w:jc w:val="center"/>
              <w:rPr>
                <w:rFonts w:eastAsia="微软雅黑"/>
                <w:sz w:val="20"/>
                <w:szCs w:val="20"/>
              </w:rPr>
            </w:pPr>
            <w:r>
              <w:rPr>
                <w:rFonts w:hint="eastAsia" w:eastAsia="微软雅黑"/>
                <w:sz w:val="20"/>
                <w:szCs w:val="20"/>
              </w:rPr>
              <w:t>Two</w:t>
            </w:r>
            <w:r>
              <w:rPr>
                <w:rFonts w:eastAsia="微软雅黑"/>
                <w:sz w:val="20"/>
                <w:szCs w:val="20"/>
              </w:rPr>
              <w:t xml:space="preserve"> panel: (M, N, P, Mg, Ng) = (1, </w:t>
            </w:r>
            <w:r>
              <w:rPr>
                <w:rFonts w:hint="eastAsia" w:eastAsia="微软雅黑"/>
                <w:sz w:val="20"/>
                <w:szCs w:val="20"/>
              </w:rPr>
              <w:t>4</w:t>
            </w:r>
            <w:r>
              <w:rPr>
                <w:rFonts w:eastAsia="微软雅黑"/>
                <w:sz w:val="20"/>
                <w:szCs w:val="20"/>
              </w:rPr>
              <w:t xml:space="preserve">, 2, 1, </w:t>
            </w:r>
            <w:r>
              <w:rPr>
                <w:rFonts w:hint="eastAsia" w:eastAsia="微软雅黑"/>
                <w:sz w:val="20"/>
                <w:szCs w:val="20"/>
              </w:rPr>
              <w:t>2</w:t>
            </w:r>
            <w:r>
              <w:rPr>
                <w:rFonts w:eastAsia="微软雅黑"/>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rFonts w:eastAsia="微软雅黑"/>
                <w:sz w:val="20"/>
                <w:szCs w:val="20"/>
              </w:rPr>
            </w:pPr>
            <w:r>
              <w:rPr>
                <w:sz w:val="20"/>
                <w:szCs w:val="20"/>
              </w:rPr>
              <w:t>Spatial consistency</w:t>
            </w:r>
          </w:p>
        </w:tc>
        <w:tc>
          <w:tcPr>
            <w:tcW w:w="4392" w:type="dxa"/>
            <w:vAlign w:val="center"/>
          </w:tcPr>
          <w:p>
            <w:pPr>
              <w:snapToGrid w:val="0"/>
              <w:spacing w:before="72" w:beforeLines="30" w:after="72" w:afterLines="30" w:line="288" w:lineRule="auto"/>
              <w:jc w:val="center"/>
              <w:rPr>
                <w:rFonts w:eastAsia="微软雅黑"/>
                <w:sz w:val="20"/>
                <w:szCs w:val="20"/>
              </w:rPr>
            </w:pPr>
            <w:r>
              <w:rPr>
                <w:sz w:val="20"/>
                <w:szCs w:val="20"/>
              </w:rPr>
              <w:t>Procedure B in TR38.901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rFonts w:eastAsia="微软雅黑"/>
                <w:sz w:val="20"/>
                <w:szCs w:val="20"/>
              </w:rPr>
            </w:pPr>
            <w:r>
              <w:rPr>
                <w:sz w:val="20"/>
                <w:szCs w:val="20"/>
              </w:rPr>
              <w:t>UE Speed</w:t>
            </w:r>
          </w:p>
        </w:tc>
        <w:tc>
          <w:tcPr>
            <w:tcW w:w="4392" w:type="dxa"/>
            <w:vAlign w:val="center"/>
          </w:tcPr>
          <w:p>
            <w:pPr>
              <w:snapToGrid w:val="0"/>
              <w:spacing w:before="72" w:beforeLines="30" w:after="72" w:afterLines="30" w:line="288" w:lineRule="auto"/>
              <w:jc w:val="center"/>
              <w:rPr>
                <w:sz w:val="20"/>
                <w:szCs w:val="20"/>
              </w:rPr>
            </w:pPr>
            <w:r>
              <w:rPr>
                <w:sz w:val="20"/>
                <w:szCs w:val="20"/>
              </w:rPr>
              <w:t>30</w:t>
            </w:r>
            <w:r>
              <w:rPr>
                <w:rFonts w:hint="eastAsia"/>
                <w:sz w:val="20"/>
                <w:szCs w:val="20"/>
              </w:rPr>
              <w:t xml:space="preserve"> </w:t>
            </w:r>
            <w:r>
              <w:rPr>
                <w:sz w:val="20"/>
                <w:szCs w:val="20"/>
              </w:rPr>
              <w:t>km/h</w:t>
            </w:r>
            <w:r>
              <w:rPr>
                <w:rFonts w:hint="eastAsia"/>
                <w:sz w:val="20"/>
                <w:szCs w:val="20"/>
              </w:rPr>
              <w:t>, 60 km/h, or 90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sz w:val="20"/>
                <w:szCs w:val="20"/>
              </w:rPr>
            </w:pPr>
            <w:r>
              <w:rPr>
                <w:sz w:val="20"/>
                <w:szCs w:val="20"/>
              </w:rPr>
              <w:t>UE trajectory model</w:t>
            </w:r>
          </w:p>
        </w:tc>
        <w:tc>
          <w:tcPr>
            <w:tcW w:w="4392" w:type="dxa"/>
            <w:vAlign w:val="center"/>
          </w:tcPr>
          <w:p>
            <w:pPr>
              <w:snapToGrid w:val="0"/>
              <w:spacing w:before="72" w:beforeLines="30" w:after="72" w:afterLines="30" w:line="288" w:lineRule="auto"/>
              <w:jc w:val="center"/>
              <w:rPr>
                <w:rFonts w:eastAsia="微软雅黑"/>
                <w:sz w:val="20"/>
                <w:szCs w:val="20"/>
              </w:rPr>
            </w:pPr>
            <w:r>
              <w:rPr>
                <w:sz w:val="20"/>
                <w:szCs w:val="20"/>
              </w:rPr>
              <w:t>Option #4: Random direction straight-line trajectories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sz w:val="20"/>
                <w:szCs w:val="20"/>
              </w:rPr>
            </w:pPr>
            <w:r>
              <w:rPr>
                <w:sz w:val="20"/>
                <w:szCs w:val="20"/>
              </w:rPr>
              <w:t>UE orientation</w:t>
            </w:r>
          </w:p>
        </w:tc>
        <w:tc>
          <w:tcPr>
            <w:tcW w:w="4392" w:type="dxa"/>
            <w:vAlign w:val="center"/>
          </w:tcPr>
          <w:p>
            <w:pPr>
              <w:snapToGrid w:val="0"/>
              <w:spacing w:before="72" w:beforeLines="30" w:after="72" w:afterLines="30" w:line="288" w:lineRule="auto"/>
              <w:jc w:val="center"/>
              <w:rPr>
                <w:rFonts w:eastAsia="微软雅黑"/>
                <w:sz w:val="20"/>
                <w:szCs w:val="20"/>
              </w:rPr>
            </w:pPr>
            <w:r>
              <w:rPr>
                <w:rFonts w:hint="eastAsia" w:eastAsia="微软雅黑"/>
                <w:sz w:val="20"/>
                <w:szCs w:val="20"/>
              </w:rPr>
              <w:t>Initially random and keeps fixed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92" w:type="dxa"/>
            <w:vAlign w:val="center"/>
          </w:tcPr>
          <w:p>
            <w:pPr>
              <w:snapToGrid w:val="0"/>
              <w:spacing w:before="72" w:beforeLines="30" w:after="72" w:afterLines="30" w:line="288" w:lineRule="auto"/>
              <w:jc w:val="center"/>
              <w:rPr>
                <w:kern w:val="2"/>
                <w:sz w:val="20"/>
                <w:szCs w:val="20"/>
              </w:rPr>
            </w:pPr>
            <w:r>
              <w:rPr>
                <w:kern w:val="2"/>
                <w:sz w:val="20"/>
                <w:szCs w:val="20"/>
              </w:rPr>
              <w:t>UE rotation speed</w:t>
            </w:r>
          </w:p>
        </w:tc>
        <w:tc>
          <w:tcPr>
            <w:tcW w:w="4392" w:type="dxa"/>
            <w:vAlign w:val="center"/>
          </w:tcPr>
          <w:p>
            <w:pPr>
              <w:snapToGrid w:val="0"/>
              <w:spacing w:before="72" w:beforeLines="30" w:after="72" w:afterLines="30" w:line="288" w:lineRule="auto"/>
              <w:jc w:val="center"/>
              <w:rPr>
                <w:rFonts w:eastAsia="微软雅黑"/>
                <w:sz w:val="20"/>
                <w:szCs w:val="20"/>
              </w:rPr>
            </w:pPr>
            <w:r>
              <w:rPr>
                <w:rFonts w:hint="eastAsia" w:eastAsia="微软雅黑"/>
                <w:sz w:val="20"/>
                <w:szCs w:val="20"/>
              </w:rPr>
              <w:t>0</w:t>
            </w:r>
          </w:p>
        </w:tc>
      </w:tr>
    </w:tbl>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AI/ML model and training methodology:</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For cross-checking </w:t>
      </w:r>
      <w:r>
        <w:rPr>
          <w:rFonts w:hint="eastAsia"/>
          <w:sz w:val="20"/>
          <w:szCs w:val="20"/>
        </w:rPr>
        <w:t>purpose</w:t>
      </w:r>
      <w:r>
        <w:rPr>
          <w:rFonts w:hint="eastAsia" w:eastAsia="Times New Roman"/>
          <w:sz w:val="20"/>
          <w:szCs w:val="20"/>
          <w:lang w:val="en-GB"/>
        </w:rPr>
        <w:t xml:space="preserve">, the adopted </w:t>
      </w:r>
      <w:r>
        <w:rPr>
          <w:rFonts w:hint="eastAsia"/>
          <w:sz w:val="20"/>
          <w:szCs w:val="20"/>
          <w:lang w:val="en-GB" w:eastAsia="zh-CN"/>
        </w:rPr>
        <w:t xml:space="preserve">AI/ML model </w:t>
      </w:r>
      <w:r>
        <w:rPr>
          <w:rFonts w:hint="eastAsia" w:eastAsia="Times New Roman"/>
          <w:sz w:val="20"/>
          <w:szCs w:val="20"/>
          <w:lang w:val="en-GB"/>
        </w:rPr>
        <w:t xml:space="preserve">for temporal beam prediction is captured in </w:t>
      </w:r>
      <w:r>
        <w:rPr>
          <w:rFonts w:hint="eastAsia" w:eastAsia="Times New Roman"/>
          <w:sz w:val="20"/>
          <w:szCs w:val="20"/>
        </w:rPr>
        <w:t xml:space="preserve">Table </w:t>
      </w:r>
      <w:r>
        <w:rPr>
          <w:rFonts w:hint="eastAsia" w:eastAsia="Times New Roman"/>
          <w:sz w:val="20"/>
          <w:szCs w:val="20"/>
        </w:rPr>
        <w:fldChar w:fldCharType="begin"/>
      </w:r>
      <w:r>
        <w:rPr>
          <w:rFonts w:hint="eastAsia" w:eastAsia="Times New Roman"/>
          <w:sz w:val="20"/>
          <w:szCs w:val="20"/>
        </w:rPr>
        <w:instrText xml:space="preserve"> = 13 \* ROMAN \* MERGEFORMAT </w:instrText>
      </w:r>
      <w:r>
        <w:rPr>
          <w:rFonts w:hint="eastAsia" w:eastAsia="Times New Roman"/>
          <w:sz w:val="20"/>
          <w:szCs w:val="20"/>
        </w:rPr>
        <w:fldChar w:fldCharType="separate"/>
      </w:r>
      <w:r>
        <w:rPr>
          <w:rFonts w:hint="eastAsia" w:eastAsia="Times New Roman"/>
          <w:sz w:val="20"/>
          <w:szCs w:val="20"/>
        </w:rPr>
        <w:t>XIII</w:t>
      </w:r>
      <w:r>
        <w:rPr>
          <w:rFonts w:hint="eastAsia" w:eastAsia="Times New Roman"/>
          <w:sz w:val="20"/>
          <w:szCs w:val="20"/>
        </w:rPr>
        <w:fldChar w:fldCharType="end"/>
      </w:r>
      <w:r>
        <w:rPr>
          <w:rFonts w:hint="eastAsia" w:eastAsia="Times New Roman"/>
          <w:sz w:val="20"/>
          <w:szCs w:val="20"/>
          <w:lang w:val="en-GB"/>
        </w:rPr>
        <w:t xml:space="preserve">. The LSTM network is used, where the </w:t>
      </w:r>
      <w:r>
        <w:rPr>
          <w:rFonts w:hint="eastAsia"/>
          <w:sz w:val="20"/>
          <w:szCs w:val="20"/>
          <w:lang w:val="en-GB" w:eastAsia="zh-CN"/>
        </w:rPr>
        <w:t xml:space="preserve">AI/ML model </w:t>
      </w:r>
      <w:r>
        <w:rPr>
          <w:rFonts w:hint="eastAsia" w:eastAsia="Times New Roman"/>
          <w:sz w:val="20"/>
          <w:szCs w:val="20"/>
          <w:lang w:val="en-GB"/>
        </w:rPr>
        <w:t>input is measured RSRPs of all</w:t>
      </w:r>
      <w:r>
        <w:rPr>
          <w:rFonts w:hint="eastAsia" w:eastAsia="Times New Roman"/>
          <w:sz w:val="20"/>
          <w:szCs w:val="20"/>
        </w:rPr>
        <w:t xml:space="preserve"> or partial</w:t>
      </w:r>
      <w:r>
        <w:rPr>
          <w:rFonts w:hint="eastAsia" w:eastAsia="Times New Roman"/>
          <w:sz w:val="20"/>
          <w:szCs w:val="20"/>
          <w:lang w:val="en-GB"/>
        </w:rPr>
        <w:t xml:space="preserve"> DL beams</w:t>
      </w:r>
      <w:r>
        <w:rPr>
          <w:rFonts w:hint="eastAsia"/>
          <w:sz w:val="20"/>
          <w:szCs w:val="20"/>
        </w:rPr>
        <w:t xml:space="preserve"> (or beam pairs)</w:t>
      </w:r>
      <w:r>
        <w:rPr>
          <w:rFonts w:hint="eastAsia" w:eastAsia="Times New Roman"/>
          <w:sz w:val="20"/>
          <w:szCs w:val="20"/>
          <w:lang w:val="en-GB"/>
        </w:rPr>
        <w:t xml:space="preserve"> of past 5 time</w:t>
      </w:r>
      <w:r>
        <w:rPr>
          <w:rFonts w:eastAsia="Times New Roman"/>
          <w:sz w:val="20"/>
          <w:szCs w:val="20"/>
          <w:lang w:val="en-GB"/>
        </w:rPr>
        <w:t xml:space="preserve"> </w:t>
      </w:r>
      <w:r>
        <w:rPr>
          <w:rFonts w:hint="eastAsia" w:eastAsia="Times New Roman"/>
          <w:sz w:val="20"/>
          <w:szCs w:val="20"/>
          <w:lang w:val="en-GB"/>
        </w:rPr>
        <w:t xml:space="preserve">instances, and the </w:t>
      </w:r>
      <w:r>
        <w:rPr>
          <w:rFonts w:hint="eastAsia"/>
          <w:sz w:val="20"/>
          <w:szCs w:val="20"/>
          <w:lang w:val="en-GB" w:eastAsia="zh-CN"/>
        </w:rPr>
        <w:t xml:space="preserve">AI/ML model </w:t>
      </w:r>
      <w:r>
        <w:rPr>
          <w:rFonts w:hint="eastAsia" w:eastAsia="Times New Roman"/>
          <w:sz w:val="20"/>
          <w:szCs w:val="20"/>
          <w:lang w:val="en-GB"/>
        </w:rPr>
        <w:t>output is predicted RSRPs of all DL beams</w:t>
      </w:r>
      <w:r>
        <w:rPr>
          <w:rFonts w:hint="eastAsia"/>
          <w:sz w:val="20"/>
          <w:szCs w:val="20"/>
        </w:rPr>
        <w:t xml:space="preserve"> (or beam pairs)</w:t>
      </w:r>
      <w:r>
        <w:rPr>
          <w:rFonts w:hint="eastAsia" w:eastAsia="Times New Roman"/>
          <w:sz w:val="20"/>
          <w:szCs w:val="20"/>
          <w:lang w:val="en-GB"/>
        </w:rPr>
        <w:t xml:space="preserve"> of future 5 time instances. The sampling interval between two adjacent time instances is</w:t>
      </w:r>
      <w:r>
        <w:rPr>
          <w:rFonts w:hint="eastAsia" w:eastAsia="Times New Roman"/>
          <w:sz w:val="20"/>
          <w:szCs w:val="20"/>
        </w:rPr>
        <w:t xml:space="preserve"> </w:t>
      </w:r>
      <w:r>
        <w:rPr>
          <w:rFonts w:hint="eastAsia" w:eastAsia="Times New Roman"/>
          <w:sz w:val="20"/>
          <w:szCs w:val="20"/>
          <w:lang w:val="en-GB"/>
        </w:rPr>
        <w:t>160ms</w:t>
      </w:r>
      <w:r>
        <w:rPr>
          <w:rFonts w:hint="eastAsia" w:eastAsia="Times New Roman"/>
          <w:sz w:val="20"/>
          <w:szCs w:val="20"/>
        </w:rPr>
        <w:t>.</w:t>
      </w:r>
      <w:r>
        <w:rPr>
          <w:rFonts w:hint="eastAsia" w:eastAsia="Times New Roman"/>
          <w:sz w:val="20"/>
          <w:szCs w:val="20"/>
          <w:lang w:val="en-GB"/>
        </w:rPr>
        <w:t xml:space="preserve"> </w:t>
      </w:r>
      <w:r>
        <w:rPr>
          <w:rFonts w:hint="eastAsia" w:eastAsia="Times New Roman"/>
          <w:sz w:val="20"/>
          <w:szCs w:val="20"/>
        </w:rPr>
        <w:t xml:space="preserve">For the evaluation of generalization performance, data samples generated by mixed UE speeds of 30km/h and </w:t>
      </w:r>
      <w:r>
        <w:rPr>
          <w:rFonts w:hint="eastAsia"/>
          <w:sz w:val="20"/>
          <w:szCs w:val="20"/>
        </w:rPr>
        <w:t>6</w:t>
      </w:r>
      <w:r>
        <w:rPr>
          <w:rFonts w:hint="eastAsia" w:eastAsia="Times New Roman"/>
          <w:sz w:val="20"/>
          <w:szCs w:val="20"/>
        </w:rPr>
        <w:t xml:space="preserve">0km/h are used for </w:t>
      </w:r>
      <w:r>
        <w:rPr>
          <w:rFonts w:hint="eastAsia"/>
          <w:sz w:val="20"/>
          <w:szCs w:val="20"/>
          <w:lang w:eastAsia="zh-CN"/>
        </w:rPr>
        <w:t xml:space="preserve">AI/ML model </w:t>
      </w:r>
      <w:r>
        <w:rPr>
          <w:rFonts w:hint="eastAsia" w:eastAsia="Times New Roman"/>
          <w:sz w:val="20"/>
          <w:szCs w:val="20"/>
        </w:rPr>
        <w:t>training and testing. T</w:t>
      </w:r>
      <w:r>
        <w:rPr>
          <w:rFonts w:hint="eastAsia" w:eastAsia="Times New Roman"/>
          <w:sz w:val="20"/>
          <w:szCs w:val="20"/>
          <w:lang w:val="en-GB"/>
        </w:rPr>
        <w:t>he corresponding dataset size</w:t>
      </w:r>
      <w:r>
        <w:rPr>
          <w:rFonts w:hint="eastAsia" w:eastAsia="Times New Roman"/>
          <w:sz w:val="20"/>
          <w:szCs w:val="20"/>
        </w:rPr>
        <w:t xml:space="preserve"> </w:t>
      </w:r>
      <w:r>
        <w:rPr>
          <w:rFonts w:hint="eastAsia" w:eastAsia="Times New Roman"/>
          <w:sz w:val="20"/>
          <w:szCs w:val="20"/>
          <w:lang w:val="en-GB"/>
        </w:rPr>
        <w:t xml:space="preserve">is </w:t>
      </w:r>
      <w:r>
        <w:rPr>
          <w:rFonts w:hint="eastAsia" w:eastAsia="Times New Roman"/>
          <w:sz w:val="20"/>
          <w:szCs w:val="20"/>
        </w:rPr>
        <w:t>60</w:t>
      </w:r>
      <w:r>
        <w:rPr>
          <w:rFonts w:hint="eastAsia" w:eastAsia="Times New Roman"/>
          <w:sz w:val="20"/>
          <w:szCs w:val="20"/>
          <w:lang w:val="en-GB"/>
        </w:rPr>
        <w:t>,</w:t>
      </w:r>
      <w:r>
        <w:rPr>
          <w:rFonts w:hint="eastAsia" w:eastAsia="Times New Roman"/>
          <w:sz w:val="20"/>
          <w:szCs w:val="20"/>
        </w:rPr>
        <w:t>000</w:t>
      </w:r>
      <w:r>
        <w:rPr>
          <w:rFonts w:hint="eastAsia" w:eastAsia="Times New Roman"/>
          <w:sz w:val="20"/>
          <w:szCs w:val="20"/>
          <w:lang w:val="en-GB"/>
        </w:rPr>
        <w:t xml:space="preserve"> </w:t>
      </w:r>
      <w:r>
        <w:rPr>
          <w:rFonts w:hint="eastAsia" w:eastAsia="Times New Roman"/>
          <w:sz w:val="20"/>
          <w:szCs w:val="20"/>
        </w:rPr>
        <w:t>and</w:t>
      </w:r>
      <w:r>
        <w:rPr>
          <w:rFonts w:hint="eastAsia" w:eastAsia="Times New Roman"/>
          <w:sz w:val="20"/>
          <w:szCs w:val="20"/>
          <w:lang w:val="en-GB"/>
        </w:rPr>
        <w:t xml:space="preserve"> 1</w:t>
      </w:r>
      <w:r>
        <w:rPr>
          <w:rFonts w:hint="eastAsia"/>
          <w:sz w:val="20"/>
          <w:szCs w:val="20"/>
        </w:rPr>
        <w:t>80</w:t>
      </w:r>
      <w:r>
        <w:rPr>
          <w:rFonts w:hint="eastAsia" w:eastAsia="Times New Roman"/>
          <w:sz w:val="20"/>
          <w:szCs w:val="20"/>
          <w:lang w:val="en-GB"/>
        </w:rPr>
        <w:t>,00</w:t>
      </w:r>
      <w:r>
        <w:rPr>
          <w:rFonts w:hint="eastAsia" w:eastAsia="Times New Roman"/>
          <w:sz w:val="20"/>
          <w:szCs w:val="20"/>
        </w:rPr>
        <w:t>0 for the case of UE speed of 30/60km/h and for the case of mixed UE speeds of 30km/h</w:t>
      </w:r>
      <w:r>
        <w:rPr>
          <w:rFonts w:hint="eastAsia"/>
          <w:sz w:val="20"/>
          <w:szCs w:val="20"/>
        </w:rPr>
        <w:t xml:space="preserve"> and </w:t>
      </w:r>
      <w:r>
        <w:rPr>
          <w:rFonts w:hint="eastAsia" w:eastAsia="Times New Roman"/>
          <w:sz w:val="20"/>
          <w:szCs w:val="20"/>
        </w:rPr>
        <w:t>60km/h</w:t>
      </w:r>
      <w:r>
        <w:rPr>
          <w:rFonts w:hint="eastAsia" w:eastAsia="Times New Roman"/>
          <w:sz w:val="20"/>
          <w:szCs w:val="20"/>
          <w:lang w:val="en-GB"/>
        </w:rPr>
        <w:t xml:space="preserve">, respectively. Besides, </w:t>
      </w:r>
      <w:r>
        <w:rPr>
          <w:rFonts w:hint="eastAsia"/>
          <w:sz w:val="20"/>
          <w:szCs w:val="20"/>
          <w:lang w:val="en-GB" w:eastAsia="zh-CN"/>
        </w:rPr>
        <w:t xml:space="preserve">AI/ML model </w:t>
      </w:r>
      <w:r>
        <w:rPr>
          <w:rFonts w:hint="eastAsia" w:eastAsia="Times New Roman"/>
          <w:sz w:val="20"/>
          <w:szCs w:val="20"/>
          <w:lang w:val="en-GB"/>
        </w:rPr>
        <w:t xml:space="preserve">complexity is also taken into consideration, which includes the </w:t>
      </w:r>
      <w:r>
        <w:rPr>
          <w:rFonts w:hint="eastAsia"/>
          <w:sz w:val="20"/>
          <w:szCs w:val="20"/>
          <w:lang w:val="en-GB" w:eastAsia="zh-CN"/>
        </w:rPr>
        <w:t xml:space="preserve">AI/ML model </w:t>
      </w:r>
      <w:r>
        <w:rPr>
          <w:rFonts w:hint="eastAsia" w:eastAsia="Times New Roman"/>
          <w:sz w:val="20"/>
          <w:szCs w:val="20"/>
          <w:lang w:val="en-GB"/>
        </w:rPr>
        <w:t xml:space="preserve">size and the amount of computation (measured in FLOPs). Among them, the former describes the required memory size and the latter describes the required computing complexity, which directly impacts the inference time of the model. </w:t>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 xml:space="preserve">Table </w:t>
      </w:r>
      <w:r>
        <w:rPr>
          <w:rFonts w:hint="eastAsia" w:eastAsia="Times New Roman"/>
          <w:sz w:val="20"/>
          <w:szCs w:val="20"/>
        </w:rPr>
        <w:fldChar w:fldCharType="begin"/>
      </w:r>
      <w:r>
        <w:rPr>
          <w:rFonts w:hint="eastAsia" w:eastAsia="Times New Roman"/>
          <w:sz w:val="20"/>
          <w:szCs w:val="20"/>
        </w:rPr>
        <w:instrText xml:space="preserve"> = 13 \* ROMAN \* MERGEFORMAT </w:instrText>
      </w:r>
      <w:r>
        <w:rPr>
          <w:rFonts w:hint="eastAsia" w:eastAsia="Times New Roman"/>
          <w:sz w:val="20"/>
          <w:szCs w:val="20"/>
        </w:rPr>
        <w:fldChar w:fldCharType="separate"/>
      </w:r>
      <w:r>
        <w:rPr>
          <w:rFonts w:hint="eastAsia" w:eastAsia="Times New Roman"/>
          <w:sz w:val="20"/>
          <w:szCs w:val="20"/>
        </w:rPr>
        <w:t>XIII</w:t>
      </w:r>
      <w:r>
        <w:rPr>
          <w:rFonts w:hint="eastAsia" w:eastAsia="Times New Roman"/>
          <w:sz w:val="20"/>
          <w:szCs w:val="20"/>
        </w:rPr>
        <w:fldChar w:fldCharType="end"/>
      </w:r>
      <w:r>
        <w:rPr>
          <w:rFonts w:hint="eastAsia"/>
          <w:sz w:val="20"/>
          <w:szCs w:val="20"/>
        </w:rPr>
        <w:t>.</w:t>
      </w:r>
      <w:r>
        <w:rPr>
          <w:rFonts w:hint="eastAsia" w:eastAsia="Times New Roman"/>
          <w:sz w:val="20"/>
          <w:szCs w:val="20"/>
          <w:lang w:val="en-GB"/>
        </w:rPr>
        <w:t xml:space="preserve"> Description of the adopted </w:t>
      </w:r>
      <w:r>
        <w:rPr>
          <w:rFonts w:hint="eastAsia"/>
          <w:sz w:val="20"/>
          <w:szCs w:val="20"/>
          <w:lang w:val="en-GB" w:eastAsia="zh-CN"/>
        </w:rPr>
        <w:t xml:space="preserve">AI/ML model </w:t>
      </w:r>
      <w:r>
        <w:rPr>
          <w:rFonts w:hint="eastAsia" w:eastAsia="Times New Roman"/>
          <w:sz w:val="20"/>
          <w:szCs w:val="20"/>
          <w:lang w:val="en-GB"/>
        </w:rPr>
        <w:t>for temporal beam prediction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8"/>
        <w:gridCol w:w="4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rPr>
            </w:pPr>
            <w:r>
              <w:rPr>
                <w:rFonts w:hint="eastAsia"/>
                <w:sz w:val="20"/>
                <w:szCs w:val="20"/>
              </w:rPr>
              <w:t>M</w:t>
            </w:r>
            <w:r>
              <w:rPr>
                <w:rFonts w:eastAsia="Batang"/>
                <w:sz w:val="20"/>
                <w:szCs w:val="20"/>
                <w:lang w:eastAsia="ko-KR"/>
              </w:rPr>
              <w:t>odel architecture</w:t>
            </w:r>
          </w:p>
        </w:tc>
        <w:tc>
          <w:tcPr>
            <w:tcW w:w="4734" w:type="dxa"/>
            <w:vAlign w:val="center"/>
          </w:tcPr>
          <w:p>
            <w:pPr>
              <w:adjustRightInd w:val="0"/>
              <w:snapToGrid w:val="0"/>
              <w:spacing w:before="72" w:beforeLines="30" w:after="72" w:afterLines="30" w:line="288" w:lineRule="auto"/>
              <w:jc w:val="center"/>
              <w:rPr>
                <w:sz w:val="20"/>
                <w:szCs w:val="20"/>
              </w:rPr>
            </w:pPr>
            <w:r>
              <w:rPr>
                <w:rFonts w:hint="eastAsia"/>
                <w:sz w:val="20"/>
                <w:szCs w:val="20"/>
              </w:rPr>
              <w:t>LSTM, FC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rPr>
            </w:pPr>
            <w:r>
              <w:rPr>
                <w:rFonts w:hint="eastAsia"/>
                <w:sz w:val="20"/>
                <w:szCs w:val="20"/>
              </w:rPr>
              <w:t>Number of layers</w:t>
            </w:r>
          </w:p>
        </w:tc>
        <w:tc>
          <w:tcPr>
            <w:tcW w:w="4734" w:type="dxa"/>
            <w:vAlign w:val="center"/>
          </w:tcPr>
          <w:p>
            <w:pPr>
              <w:adjustRightInd w:val="0"/>
              <w:snapToGrid w:val="0"/>
              <w:spacing w:before="72" w:beforeLines="30" w:after="72" w:afterLines="30" w:line="288" w:lineRule="auto"/>
              <w:jc w:val="center"/>
              <w:rPr>
                <w:sz w:val="20"/>
                <w:szCs w:val="20"/>
              </w:rPr>
            </w:pPr>
            <w:r>
              <w:rPr>
                <w:rFonts w:hint="eastAsia"/>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rPr>
            </w:pPr>
            <w:r>
              <w:rPr>
                <w:rFonts w:hint="eastAsia"/>
                <w:sz w:val="20"/>
                <w:szCs w:val="20"/>
              </w:rPr>
              <w:t>Model input</w:t>
            </w:r>
          </w:p>
        </w:tc>
        <w:tc>
          <w:tcPr>
            <w:tcW w:w="4734" w:type="dxa"/>
            <w:vAlign w:val="center"/>
          </w:tcPr>
          <w:p>
            <w:pPr>
              <w:adjustRightInd w:val="0"/>
              <w:snapToGrid w:val="0"/>
              <w:spacing w:before="72" w:beforeLines="30" w:after="72" w:afterLines="30" w:line="288" w:lineRule="auto"/>
              <w:jc w:val="center"/>
              <w:rPr>
                <w:sz w:val="20"/>
                <w:szCs w:val="20"/>
              </w:rPr>
            </w:pPr>
            <w:r>
              <w:rPr>
                <w:rFonts w:hint="eastAsia"/>
                <w:sz w:val="20"/>
                <w:szCs w:val="20"/>
              </w:rPr>
              <w:t>Measured RSRPs of past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rPr>
            </w:pPr>
            <w:r>
              <w:rPr>
                <w:rFonts w:hint="eastAsia"/>
                <w:sz w:val="20"/>
                <w:szCs w:val="20"/>
              </w:rPr>
              <w:t>Model output</w:t>
            </w:r>
          </w:p>
        </w:tc>
        <w:tc>
          <w:tcPr>
            <w:tcW w:w="4734" w:type="dxa"/>
            <w:vAlign w:val="center"/>
          </w:tcPr>
          <w:p>
            <w:pPr>
              <w:adjustRightInd w:val="0"/>
              <w:snapToGrid w:val="0"/>
              <w:spacing w:before="72" w:beforeLines="30" w:after="72" w:afterLines="30" w:line="288" w:lineRule="auto"/>
              <w:jc w:val="center"/>
              <w:rPr>
                <w:sz w:val="20"/>
                <w:szCs w:val="20"/>
              </w:rPr>
            </w:pPr>
            <w:r>
              <w:rPr>
                <w:rFonts w:hint="eastAsia"/>
                <w:sz w:val="20"/>
                <w:szCs w:val="20"/>
              </w:rPr>
              <w:t>Predicted RSRPs of future time instances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rPr>
            </w:pPr>
            <w:r>
              <w:rPr>
                <w:rFonts w:hint="eastAsia"/>
                <w:sz w:val="20"/>
                <w:szCs w:val="20"/>
              </w:rPr>
              <w:t>Observation window length</w:t>
            </w:r>
          </w:p>
        </w:tc>
        <w:tc>
          <w:tcPr>
            <w:tcW w:w="4734" w:type="dxa"/>
            <w:vAlign w:val="center"/>
          </w:tcPr>
          <w:p>
            <w:pPr>
              <w:adjustRightInd w:val="0"/>
              <w:snapToGrid w:val="0"/>
              <w:spacing w:before="72" w:beforeLines="30" w:after="72" w:afterLines="30" w:line="288" w:lineRule="auto"/>
              <w:jc w:val="center"/>
              <w:rPr>
                <w:sz w:val="20"/>
                <w:szCs w:val="20"/>
              </w:rPr>
            </w:pPr>
            <w:r>
              <w:rPr>
                <w:rFonts w:hint="eastAsia"/>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rPr>
            </w:pPr>
            <w:r>
              <w:rPr>
                <w:rFonts w:hint="eastAsia"/>
                <w:sz w:val="20"/>
                <w:szCs w:val="20"/>
              </w:rPr>
              <w:t>Prediction window length</w:t>
            </w:r>
          </w:p>
        </w:tc>
        <w:tc>
          <w:tcPr>
            <w:tcW w:w="4734" w:type="dxa"/>
            <w:vAlign w:val="center"/>
          </w:tcPr>
          <w:p>
            <w:pPr>
              <w:adjustRightInd w:val="0"/>
              <w:snapToGrid w:val="0"/>
              <w:spacing w:before="72" w:beforeLines="30" w:after="72" w:afterLines="30" w:line="288" w:lineRule="auto"/>
              <w:jc w:val="center"/>
              <w:rPr>
                <w:sz w:val="20"/>
                <w:szCs w:val="20"/>
              </w:rPr>
            </w:pPr>
            <w:r>
              <w:rPr>
                <w:rFonts w:hint="eastAsia"/>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Merge w:val="restart"/>
            <w:vAlign w:val="center"/>
          </w:tcPr>
          <w:p>
            <w:pPr>
              <w:adjustRightInd w:val="0"/>
              <w:snapToGrid w:val="0"/>
              <w:spacing w:before="72" w:beforeLines="30" w:after="72" w:afterLines="30" w:line="288" w:lineRule="auto"/>
              <w:jc w:val="center"/>
              <w:rPr>
                <w:sz w:val="20"/>
                <w:szCs w:val="20"/>
              </w:rPr>
            </w:pPr>
            <w:r>
              <w:rPr>
                <w:rFonts w:hint="eastAsia"/>
                <w:sz w:val="20"/>
                <w:szCs w:val="20"/>
              </w:rPr>
              <w:t>Dataset size</w:t>
            </w:r>
          </w:p>
        </w:tc>
        <w:tc>
          <w:tcPr>
            <w:tcW w:w="4734" w:type="dxa"/>
            <w:vAlign w:val="center"/>
          </w:tcPr>
          <w:p>
            <w:pPr>
              <w:adjustRightInd w:val="0"/>
              <w:snapToGrid w:val="0"/>
              <w:spacing w:before="72" w:beforeLines="30" w:after="72" w:afterLines="30" w:line="288" w:lineRule="auto"/>
              <w:rPr>
                <w:sz w:val="20"/>
                <w:szCs w:val="20"/>
              </w:rPr>
            </w:pPr>
            <w:r>
              <w:rPr>
                <w:rFonts w:hint="eastAsia"/>
                <w:sz w:val="20"/>
                <w:szCs w:val="20"/>
              </w:rPr>
              <w:t>For performance comparison of fixed Set B and variable Set B across training and inference: 140000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Merge w:val="continue"/>
            <w:vAlign w:val="center"/>
          </w:tcPr>
          <w:p>
            <w:pPr>
              <w:adjustRightInd w:val="0"/>
              <w:snapToGrid w:val="0"/>
              <w:spacing w:before="72" w:beforeLines="30" w:after="72" w:afterLines="30" w:line="288" w:lineRule="auto"/>
              <w:jc w:val="center"/>
              <w:rPr>
                <w:sz w:val="20"/>
                <w:szCs w:val="20"/>
              </w:rPr>
            </w:pPr>
          </w:p>
        </w:tc>
        <w:tc>
          <w:tcPr>
            <w:tcW w:w="4734" w:type="dxa"/>
            <w:vAlign w:val="center"/>
          </w:tcPr>
          <w:p>
            <w:pPr>
              <w:adjustRightInd w:val="0"/>
              <w:snapToGrid w:val="0"/>
              <w:spacing w:before="72" w:beforeLines="30" w:after="72" w:afterLines="30" w:line="288" w:lineRule="auto"/>
              <w:rPr>
                <w:sz w:val="20"/>
                <w:szCs w:val="20"/>
              </w:rPr>
            </w:pPr>
            <w:r>
              <w:rPr>
                <w:rFonts w:hint="eastAsia"/>
                <w:sz w:val="20"/>
                <w:szCs w:val="20"/>
              </w:rPr>
              <w:t xml:space="preserve">For performance comparison of </w:t>
            </w:r>
            <w:r>
              <w:rPr>
                <w:sz w:val="20"/>
                <w:szCs w:val="20"/>
              </w:rPr>
              <w:t>Tx-Rx beam pair</w:t>
            </w:r>
            <w:r>
              <w:rPr>
                <w:rFonts w:hint="eastAsia"/>
                <w:sz w:val="20"/>
                <w:szCs w:val="20"/>
              </w:rPr>
              <w:t xml:space="preserve"> </w:t>
            </w:r>
            <w:r>
              <w:rPr>
                <w:sz w:val="20"/>
                <w:szCs w:val="20"/>
              </w:rPr>
              <w:t>prediction</w:t>
            </w:r>
            <w:r>
              <w:rPr>
                <w:rFonts w:hint="eastAsia"/>
                <w:sz w:val="20"/>
                <w:szCs w:val="20"/>
              </w:rPr>
              <w:t xml:space="preserve"> and </w:t>
            </w:r>
            <w:r>
              <w:rPr>
                <w:sz w:val="20"/>
                <w:szCs w:val="20"/>
              </w:rPr>
              <w:t>Tx beam</w:t>
            </w:r>
            <w:r>
              <w:rPr>
                <w:rFonts w:hint="eastAsia"/>
                <w:sz w:val="20"/>
                <w:szCs w:val="20"/>
              </w:rPr>
              <w:t xml:space="preserve"> </w:t>
            </w:r>
            <w:r>
              <w:rPr>
                <w:sz w:val="20"/>
                <w:szCs w:val="20"/>
              </w:rPr>
              <w:t>predictio</w:t>
            </w:r>
            <w:r>
              <w:rPr>
                <w:rFonts w:hint="eastAsia"/>
                <w:sz w:val="20"/>
                <w:szCs w:val="20"/>
              </w:rPr>
              <w:t>n: 140000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Merge w:val="continue"/>
            <w:vAlign w:val="center"/>
          </w:tcPr>
          <w:p>
            <w:pPr>
              <w:adjustRightInd w:val="0"/>
              <w:snapToGrid w:val="0"/>
              <w:spacing w:before="72" w:beforeLines="30" w:after="72" w:afterLines="30" w:line="288" w:lineRule="auto"/>
              <w:jc w:val="center"/>
              <w:rPr>
                <w:sz w:val="20"/>
                <w:szCs w:val="20"/>
              </w:rPr>
            </w:pPr>
          </w:p>
        </w:tc>
        <w:tc>
          <w:tcPr>
            <w:tcW w:w="4734" w:type="dxa"/>
            <w:vAlign w:val="center"/>
          </w:tcPr>
          <w:p>
            <w:pPr>
              <w:adjustRightInd w:val="0"/>
              <w:snapToGrid w:val="0"/>
              <w:spacing w:before="72" w:beforeLines="30" w:after="72" w:afterLines="30" w:line="288" w:lineRule="auto"/>
              <w:rPr>
                <w:sz w:val="20"/>
                <w:szCs w:val="20"/>
              </w:rPr>
            </w:pPr>
            <w:r>
              <w:rPr>
                <w:rFonts w:hint="eastAsia"/>
                <w:sz w:val="20"/>
                <w:szCs w:val="20"/>
              </w:rPr>
              <w:t xml:space="preserve">For evaluation of generalization: </w:t>
            </w:r>
          </w:p>
          <w:p>
            <w:pPr>
              <w:adjustRightInd w:val="0"/>
              <w:snapToGrid w:val="0"/>
              <w:spacing w:before="72" w:beforeLines="30" w:after="72" w:afterLines="30" w:line="288" w:lineRule="auto"/>
              <w:rPr>
                <w:sz w:val="20"/>
                <w:szCs w:val="20"/>
              </w:rPr>
            </w:pPr>
            <w:r>
              <w:rPr>
                <w:rFonts w:hint="eastAsia"/>
                <w:sz w:val="20"/>
                <w:szCs w:val="20"/>
              </w:rPr>
              <w:t>60,000 (for a single UE speed of 30km/h or 60km/h or 90km/h)</w:t>
            </w:r>
          </w:p>
          <w:p>
            <w:pPr>
              <w:adjustRightInd w:val="0"/>
              <w:snapToGrid w:val="0"/>
              <w:spacing w:before="72" w:beforeLines="30" w:after="72" w:afterLines="30" w:line="288" w:lineRule="auto"/>
              <w:rPr>
                <w:sz w:val="20"/>
                <w:szCs w:val="20"/>
              </w:rPr>
            </w:pPr>
            <w:r>
              <w:rPr>
                <w:rFonts w:hint="eastAsia" w:eastAsia="Times New Roman"/>
                <w:sz w:val="20"/>
                <w:szCs w:val="20"/>
                <w:lang w:val="en-GB"/>
              </w:rPr>
              <w:t>1</w:t>
            </w:r>
            <w:r>
              <w:rPr>
                <w:rFonts w:hint="eastAsia"/>
                <w:sz w:val="20"/>
                <w:szCs w:val="20"/>
              </w:rPr>
              <w:t>80</w:t>
            </w:r>
            <w:r>
              <w:rPr>
                <w:rFonts w:hint="eastAsia" w:eastAsia="Times New Roman"/>
                <w:sz w:val="20"/>
                <w:szCs w:val="20"/>
                <w:lang w:val="en-GB"/>
              </w:rPr>
              <w:t>,00</w:t>
            </w:r>
            <w:r>
              <w:rPr>
                <w:rFonts w:hint="eastAsia" w:eastAsia="Times New Roman"/>
                <w:sz w:val="20"/>
                <w:szCs w:val="20"/>
              </w:rPr>
              <w:t>0</w:t>
            </w:r>
            <w:r>
              <w:rPr>
                <w:rFonts w:hint="eastAsia"/>
                <w:sz w:val="20"/>
                <w:szCs w:val="20"/>
              </w:rPr>
              <w:t xml:space="preserve"> (for mixed UE speeds of 30km/h, 60km/h, and 90km/h)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rPr>
            </w:pPr>
            <w:r>
              <w:fldChar w:fldCharType="begin"/>
            </w:r>
            <w:r>
              <w:instrText xml:space="preserve"> HYPERLINK "C:/Users/10068540/AppData/Local/Youdao/Dict/Application/5.4.43.3217/resultui/app:ds:percentage" \t "C:/Users/10068540/AppData/Local/Youdao/Dict/Application/5.4.43.3217/resultui/_self" </w:instrText>
            </w:r>
            <w:r>
              <w:fldChar w:fldCharType="separate"/>
            </w:r>
            <w:r>
              <w:rPr>
                <w:rFonts w:hint="eastAsia"/>
                <w:sz w:val="20"/>
                <w:szCs w:val="20"/>
              </w:rPr>
              <w:t>P</w:t>
            </w:r>
            <w:r>
              <w:rPr>
                <w:sz w:val="20"/>
                <w:szCs w:val="20"/>
              </w:rPr>
              <w:t>ercentage</w:t>
            </w:r>
            <w:r>
              <w:rPr>
                <w:sz w:val="20"/>
                <w:szCs w:val="20"/>
              </w:rPr>
              <w:fldChar w:fldCharType="end"/>
            </w:r>
          </w:p>
          <w:p>
            <w:pPr>
              <w:adjustRightInd w:val="0"/>
              <w:snapToGrid w:val="0"/>
              <w:spacing w:before="72" w:beforeLines="30" w:after="72" w:afterLines="30" w:line="288" w:lineRule="auto"/>
              <w:jc w:val="center"/>
              <w:rPr>
                <w:sz w:val="20"/>
                <w:szCs w:val="20"/>
              </w:rPr>
            </w:pPr>
            <w:r>
              <w:rPr>
                <w:rFonts w:hint="eastAsia"/>
                <w:sz w:val="20"/>
                <w:szCs w:val="20"/>
                <w:lang w:eastAsia="en-US"/>
              </w:rPr>
              <w:t xml:space="preserve"> of </w:t>
            </w:r>
            <w:r>
              <w:rPr>
                <w:rFonts w:eastAsia="Batang"/>
                <w:sz w:val="20"/>
                <w:szCs w:val="20"/>
                <w:lang w:eastAsia="en-US"/>
              </w:rPr>
              <w:t>training/validity</w:t>
            </w:r>
            <w:r>
              <w:rPr>
                <w:rFonts w:hint="eastAsia"/>
                <w:sz w:val="20"/>
                <w:szCs w:val="20"/>
              </w:rPr>
              <w:t xml:space="preserve">/testing </w:t>
            </w:r>
            <w:r>
              <w:rPr>
                <w:rFonts w:eastAsia="Batang"/>
                <w:sz w:val="20"/>
                <w:szCs w:val="20"/>
                <w:lang w:eastAsia="en-US"/>
              </w:rPr>
              <w:t>samples</w:t>
            </w:r>
          </w:p>
        </w:tc>
        <w:tc>
          <w:tcPr>
            <w:tcW w:w="4734" w:type="dxa"/>
            <w:vAlign w:val="center"/>
          </w:tcPr>
          <w:p>
            <w:pPr>
              <w:adjustRightInd w:val="0"/>
              <w:snapToGrid w:val="0"/>
              <w:spacing w:before="72" w:beforeLines="30" w:after="72" w:afterLines="30" w:line="288" w:lineRule="auto"/>
              <w:jc w:val="center"/>
              <w:rPr>
                <w:sz w:val="20"/>
                <w:szCs w:val="20"/>
                <w:lang w:val="en-GB"/>
              </w:rPr>
            </w:pPr>
            <w:r>
              <w:rPr>
                <w:rFonts w:hint="eastAsia"/>
                <w:sz w:val="20"/>
                <w:szCs w:val="20"/>
              </w:rPr>
              <w:t>90%, 5%,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lang w:eastAsia="en-US"/>
              </w:rPr>
            </w:pPr>
            <w:r>
              <w:rPr>
                <w:rFonts w:hint="eastAsia"/>
                <w:sz w:val="20"/>
                <w:szCs w:val="20"/>
              </w:rPr>
              <w:t>Model size</w:t>
            </w:r>
          </w:p>
        </w:tc>
        <w:tc>
          <w:tcPr>
            <w:tcW w:w="4734" w:type="dxa"/>
            <w:vAlign w:val="center"/>
          </w:tcPr>
          <w:p>
            <w:pPr>
              <w:adjustRightInd w:val="0"/>
              <w:snapToGrid w:val="0"/>
              <w:spacing w:before="72" w:beforeLines="30" w:after="72" w:afterLines="30" w:line="288" w:lineRule="auto"/>
              <w:jc w:val="center"/>
              <w:rPr>
                <w:sz w:val="20"/>
                <w:szCs w:val="20"/>
                <w:lang w:val="en-GB"/>
              </w:rPr>
            </w:pPr>
            <w:r>
              <w:rPr>
                <w:rFonts w:hint="eastAsia"/>
                <w:sz w:val="20"/>
                <w:szCs w:val="20"/>
              </w:rPr>
              <w:t>2.758M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758" w:type="dxa"/>
            <w:vAlign w:val="center"/>
          </w:tcPr>
          <w:p>
            <w:pPr>
              <w:adjustRightInd w:val="0"/>
              <w:snapToGrid w:val="0"/>
              <w:spacing w:before="72" w:beforeLines="30" w:after="72" w:afterLines="30" w:line="288" w:lineRule="auto"/>
              <w:jc w:val="center"/>
              <w:rPr>
                <w:sz w:val="20"/>
                <w:szCs w:val="20"/>
              </w:rPr>
            </w:pPr>
            <w:r>
              <w:rPr>
                <w:rFonts w:hint="eastAsia"/>
                <w:sz w:val="20"/>
                <w:szCs w:val="20"/>
              </w:rPr>
              <w:t>FLOPs</w:t>
            </w:r>
          </w:p>
        </w:tc>
        <w:tc>
          <w:tcPr>
            <w:tcW w:w="4734" w:type="dxa"/>
            <w:vAlign w:val="center"/>
          </w:tcPr>
          <w:p>
            <w:pPr>
              <w:adjustRightInd w:val="0"/>
              <w:snapToGrid w:val="0"/>
              <w:spacing w:before="72" w:beforeLines="30" w:after="72" w:afterLines="30" w:line="288" w:lineRule="auto"/>
              <w:jc w:val="center"/>
              <w:rPr>
                <w:sz w:val="20"/>
                <w:szCs w:val="20"/>
                <w:lang w:val="en-GB"/>
              </w:rPr>
            </w:pPr>
            <w:r>
              <w:rPr>
                <w:rFonts w:hint="eastAsia"/>
                <w:sz w:val="20"/>
                <w:szCs w:val="20"/>
              </w:rPr>
              <w:t>7.250M</w:t>
            </w:r>
          </w:p>
        </w:tc>
      </w:tr>
    </w:tbl>
    <w:p>
      <w:pPr>
        <w:snapToGrid w:val="0"/>
        <w:spacing w:before="72" w:beforeLines="30" w:after="72" w:afterLines="30" w:line="288" w:lineRule="auto"/>
        <w:jc w:val="both"/>
        <w:rPr>
          <w:rFonts w:eastAsia="Times New Roman"/>
          <w:b/>
          <w:bCs/>
          <w:sz w:val="20"/>
          <w:szCs w:val="20"/>
          <w:u w:val="single"/>
          <w:lang w:val="en-GB"/>
        </w:rPr>
      </w:pPr>
      <w:r>
        <w:rPr>
          <w:rFonts w:hint="eastAsia" w:eastAsia="Times New Roman"/>
          <w:b/>
          <w:bCs/>
          <w:sz w:val="20"/>
          <w:szCs w:val="20"/>
          <w:u w:val="single"/>
          <w:lang w:val="en-GB"/>
        </w:rPr>
        <w:t>Performance KPIs:</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To evaluate the performance of AI/ML in temporal beam prediction, we provide our preliminary simulation results in terms of beam prediction accuracy for Top-K beams. All adopted KPIs are appropriately defined according to the agreement achieved in RAN1#109e. Particularly, the Top-1 genie-aided Tx beam is the Tx beam that results in the largest L1-RSRP over all Tx and Rx beams</w:t>
      </w:r>
      <w:r>
        <w:rPr>
          <w:rFonts w:hint="eastAsia"/>
          <w:sz w:val="20"/>
          <w:szCs w:val="20"/>
        </w:rPr>
        <w:t xml:space="preserve"> (</w:t>
      </w:r>
      <w:r>
        <w:rPr>
          <w:rFonts w:eastAsia="Batang"/>
          <w:bCs/>
          <w:sz w:val="20"/>
          <w:szCs w:val="20"/>
          <w:lang w:val="en-GB" w:eastAsia="ko-KR"/>
        </w:rPr>
        <w:t>unless otherwise mentioned</w:t>
      </w:r>
      <w:r>
        <w:rPr>
          <w:rFonts w:hint="eastAsia"/>
          <w:sz w:val="20"/>
          <w:szCs w:val="20"/>
        </w:rPr>
        <w:t>). T</w:t>
      </w:r>
      <w:r>
        <w:rPr>
          <w:rFonts w:hint="eastAsia" w:eastAsia="Times New Roman"/>
          <w:sz w:val="20"/>
          <w:szCs w:val="20"/>
          <w:lang w:val="en-GB"/>
        </w:rPr>
        <w:t xml:space="preserve">he beam prediction accuracy (%) for Top-K beams is defined as the percentage that the Top-1 genie-aided beam is one of the Top-K predicted beams. </w:t>
      </w:r>
      <w:r>
        <w:rPr>
          <w:rFonts w:hint="eastAsia" w:eastAsia="Times New Roman"/>
          <w:sz w:val="20"/>
          <w:szCs w:val="20"/>
        </w:rPr>
        <w:t xml:space="preserve">As with the spatial domain beam prediction, </w:t>
      </w:r>
      <w:r>
        <w:rPr>
          <w:rFonts w:hint="eastAsia" w:eastAsia="Times New Roman"/>
          <w:sz w:val="20"/>
          <w:szCs w:val="20"/>
          <w:lang w:val="en-GB"/>
        </w:rPr>
        <w:t>a second stage beam sweeping over these Top-K predicted beams is not considered</w:t>
      </w:r>
      <w:r>
        <w:rPr>
          <w:rFonts w:hint="eastAsia" w:eastAsia="Times New Roman"/>
          <w:sz w:val="20"/>
          <w:szCs w:val="20"/>
        </w:rPr>
        <w:t xml:space="preserve"> for RS overhead counting. Otherwise, the RS overhead for the second stage beam sweeping would be the </w:t>
      </w:r>
      <w:r>
        <w:rPr>
          <w:rFonts w:hint="eastAsia" w:eastAsia="Times New Roman"/>
          <w:sz w:val="20"/>
          <w:szCs w:val="20"/>
          <w:lang w:val="en-GB"/>
        </w:rPr>
        <w:t>product of the number of UEs per sector and the number of Top-K beams</w:t>
      </w:r>
      <w:r>
        <w:rPr>
          <w:rFonts w:hint="eastAsia" w:eastAsia="Times New Roman"/>
          <w:sz w:val="20"/>
          <w:szCs w:val="20"/>
        </w:rPr>
        <w:t>. Thus, the RS overhead of the temporal beam prediction method may be even higher than that of a cell-specific exhaustive sweeping over all beams.</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Performance comparison of fixed Set B and variable Set B</w:t>
      </w:r>
    </w:p>
    <w:p>
      <w:pPr>
        <w:snapToGrid w:val="0"/>
        <w:spacing w:before="72" w:beforeLines="30" w:after="72" w:afterLines="30" w:line="288" w:lineRule="auto"/>
        <w:jc w:val="both"/>
        <w:rPr>
          <w:rFonts w:eastAsia="Times New Roman"/>
          <w:sz w:val="20"/>
          <w:szCs w:val="20"/>
          <w:lang w:val="en-GB"/>
        </w:rPr>
      </w:pPr>
      <w:r>
        <w:rPr>
          <w:rFonts w:hint="eastAsia" w:eastAsia="Times New Roman"/>
          <w:sz w:val="20"/>
          <w:szCs w:val="20"/>
          <w:lang w:val="en-GB"/>
        </w:rPr>
        <w:t xml:space="preserve">To </w:t>
      </w:r>
      <w:r>
        <w:rPr>
          <w:rFonts w:hint="eastAsia" w:eastAsia="Times New Roman"/>
          <w:sz w:val="20"/>
          <w:szCs w:val="20"/>
        </w:rPr>
        <w:t>s</w:t>
      </w:r>
      <w:r>
        <w:rPr>
          <w:rFonts w:hint="eastAsia" w:eastAsia="Times New Roman"/>
          <w:sz w:val="20"/>
          <w:szCs w:val="20"/>
          <w:lang w:val="en-GB" w:eastAsia="ko-KR"/>
        </w:rPr>
        <w:t>tudy the selection of Set B of beams</w:t>
      </w:r>
      <w:r>
        <w:rPr>
          <w:rFonts w:hint="eastAsia" w:eastAsia="Times New Roman"/>
          <w:sz w:val="20"/>
          <w:szCs w:val="20"/>
          <w:lang w:val="en-GB"/>
        </w:rPr>
        <w:t xml:space="preserve">, </w:t>
      </w:r>
      <w:r>
        <w:rPr>
          <w:rFonts w:hint="eastAsia" w:eastAsia="Times New Roman"/>
          <w:sz w:val="20"/>
          <w:szCs w:val="20"/>
        </w:rPr>
        <w:t>p</w:t>
      </w:r>
      <w:r>
        <w:rPr>
          <w:rFonts w:hint="eastAsia" w:eastAsia="Times New Roman"/>
          <w:sz w:val="20"/>
          <w:szCs w:val="20"/>
          <w:lang w:val="en-GB"/>
        </w:rPr>
        <w:t xml:space="preserve">erformance comparison of fixed Set B and variable Set B </w:t>
      </w:r>
      <w:r>
        <w:rPr>
          <w:rFonts w:hint="eastAsia" w:eastAsia="Times New Roman"/>
          <w:sz w:val="20"/>
          <w:szCs w:val="20"/>
        </w:rPr>
        <w:t xml:space="preserve">during the observation window is conducted, where </w:t>
      </w:r>
      <w:r>
        <w:rPr>
          <w:rFonts w:hint="eastAsia" w:eastAsia="Times New Roman"/>
          <w:sz w:val="20"/>
          <w:szCs w:val="20"/>
          <w:lang w:val="en-GB"/>
        </w:rPr>
        <w:t xml:space="preserve">RSRPs of </w:t>
      </w:r>
      <w:r>
        <w:rPr>
          <w:rFonts w:hint="eastAsia" w:eastAsia="Times New Roman"/>
          <w:sz w:val="20"/>
          <w:szCs w:val="20"/>
        </w:rPr>
        <w:t xml:space="preserve">all </w:t>
      </w:r>
      <w:r>
        <w:rPr>
          <w:rFonts w:hint="eastAsia" w:eastAsia="Times New Roman"/>
          <w:sz w:val="20"/>
          <w:szCs w:val="20"/>
          <w:lang w:val="en-GB"/>
        </w:rPr>
        <w:t>measured beam</w:t>
      </w:r>
      <w:r>
        <w:rPr>
          <w:rFonts w:hint="eastAsia" w:eastAsia="Times New Roman"/>
          <w:sz w:val="20"/>
          <w:szCs w:val="20"/>
        </w:rPr>
        <w:t xml:space="preserve">s </w:t>
      </w:r>
      <w:r>
        <w:rPr>
          <w:rFonts w:hint="eastAsia" w:eastAsia="Times New Roman"/>
          <w:sz w:val="20"/>
          <w:szCs w:val="20"/>
          <w:lang w:val="en-GB"/>
        </w:rPr>
        <w:t xml:space="preserve">in Set B are used as </w:t>
      </w:r>
      <w:r>
        <w:rPr>
          <w:rFonts w:hint="eastAsia"/>
          <w:sz w:val="20"/>
          <w:szCs w:val="20"/>
          <w:lang w:val="en-GB" w:eastAsia="zh-CN"/>
        </w:rPr>
        <w:t xml:space="preserve">AI/ML model </w:t>
      </w:r>
      <w:r>
        <w:rPr>
          <w:rFonts w:hint="eastAsia" w:eastAsia="Times New Roman"/>
          <w:sz w:val="20"/>
          <w:szCs w:val="20"/>
          <w:lang w:val="en-GB"/>
        </w:rPr>
        <w:t>input</w:t>
      </w:r>
      <w:r>
        <w:rPr>
          <w:rFonts w:hint="eastAsia" w:eastAsia="Times New Roman"/>
          <w:sz w:val="20"/>
          <w:szCs w:val="20"/>
        </w:rPr>
        <w:t xml:space="preserve">s. In particular, as with the spatial domain beam prediction, Set C of beams can be measured and Top-4, Top-2, or Top-1 beams of </w:t>
      </w:r>
      <w:r>
        <w:rPr>
          <w:rFonts w:hint="eastAsia" w:eastAsia="Times New Roman"/>
          <w:sz w:val="20"/>
          <w:szCs w:val="20"/>
          <w:lang w:val="en-GB"/>
        </w:rPr>
        <w:t xml:space="preserve">Set </w:t>
      </w:r>
      <w:r>
        <w:rPr>
          <w:rFonts w:hint="eastAsia" w:eastAsia="Times New Roman"/>
          <w:sz w:val="20"/>
          <w:szCs w:val="20"/>
        </w:rPr>
        <w:t>C</w:t>
      </w:r>
      <w:r>
        <w:rPr>
          <w:rFonts w:hint="eastAsia" w:eastAsia="Times New Roman"/>
          <w:sz w:val="20"/>
          <w:szCs w:val="20"/>
          <w:lang w:val="en-GB"/>
        </w:rPr>
        <w:t xml:space="preserve"> </w:t>
      </w:r>
      <w:r>
        <w:rPr>
          <w:rFonts w:hint="eastAsia" w:eastAsia="Times New Roman"/>
          <w:sz w:val="20"/>
          <w:szCs w:val="20"/>
        </w:rPr>
        <w:t xml:space="preserve">are </w:t>
      </w:r>
      <w:r>
        <w:rPr>
          <w:rFonts w:hint="eastAsia" w:eastAsia="Times New Roman"/>
          <w:sz w:val="20"/>
          <w:szCs w:val="20"/>
          <w:lang w:val="en-GB"/>
        </w:rPr>
        <w:t xml:space="preserve">used as </w:t>
      </w:r>
      <w:r>
        <w:rPr>
          <w:rFonts w:hint="eastAsia"/>
          <w:sz w:val="20"/>
          <w:szCs w:val="20"/>
          <w:lang w:val="en-GB" w:eastAsia="zh-CN"/>
        </w:rPr>
        <w:t xml:space="preserve">AI/ML model </w:t>
      </w:r>
      <w:r>
        <w:rPr>
          <w:rFonts w:hint="eastAsia" w:eastAsia="Times New Roman"/>
          <w:sz w:val="20"/>
          <w:szCs w:val="20"/>
          <w:lang w:val="en-GB"/>
        </w:rPr>
        <w:t>input</w:t>
      </w:r>
      <w:r>
        <w:rPr>
          <w:rFonts w:hint="eastAsia" w:eastAsia="Times New Roman"/>
          <w:sz w:val="20"/>
          <w:szCs w:val="20"/>
        </w:rPr>
        <w:t>s (i.e., Set B) to reduce the reporting overhead for a NW-side model. More specifically, the following six</w:t>
      </w:r>
      <w:r>
        <w:rPr>
          <w:rFonts w:hint="eastAsia" w:eastAsia="Times New Roman"/>
          <w:sz w:val="20"/>
          <w:szCs w:val="20"/>
          <w:lang w:val="en-GB"/>
        </w:rPr>
        <w:t xml:space="preserve"> different cases</w:t>
      </w:r>
      <w:r>
        <w:rPr>
          <w:rFonts w:hint="eastAsia" w:eastAsia="Times New Roman"/>
          <w:sz w:val="20"/>
          <w:szCs w:val="20"/>
        </w:rPr>
        <w:t xml:space="preserve"> </w:t>
      </w:r>
      <w:r>
        <w:rPr>
          <w:rFonts w:hint="eastAsia" w:eastAsia="Times New Roman"/>
          <w:sz w:val="20"/>
          <w:szCs w:val="20"/>
          <w:lang w:val="en-GB"/>
        </w:rPr>
        <w:t xml:space="preserve">are considered </w:t>
      </w:r>
      <w:r>
        <w:rPr>
          <w:rFonts w:hint="eastAsia" w:eastAsia="Times New Roman"/>
          <w:sz w:val="20"/>
          <w:szCs w:val="20"/>
        </w:rPr>
        <w:t>for comparison</w:t>
      </w:r>
      <w:r>
        <w:rPr>
          <w:rFonts w:hint="eastAsia" w:eastAsia="Times New Roman"/>
          <w:sz w:val="20"/>
          <w:szCs w:val="20"/>
          <w:lang w:val="en-GB"/>
        </w:rPr>
        <w:t>.</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 xml:space="preserve">Case 2-1-1: </w:t>
      </w:r>
      <w:r>
        <w:rPr>
          <w:rFonts w:eastAsia="Times New Roman"/>
          <w:sz w:val="20"/>
          <w:szCs w:val="20"/>
          <w:lang w:eastAsia="ko-KR"/>
        </w:rPr>
        <w:t>Set B is changed following a set of pre-configured patterns</w:t>
      </w:r>
      <w:r>
        <w:rPr>
          <w:rFonts w:hint="eastAsia"/>
          <w:sz w:val="20"/>
          <w:szCs w:val="20"/>
        </w:rPr>
        <w:t xml:space="preserve"> </w:t>
      </w:r>
      <w:r>
        <w:rPr>
          <w:rFonts w:hint="eastAsia" w:eastAsia="Times New Roman"/>
          <w:sz w:val="20"/>
          <w:szCs w:val="20"/>
        </w:rPr>
        <w:t>(total 4 beam patterns)</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Case 2-1-2</w:t>
      </w:r>
      <w:r>
        <w:rPr>
          <w:rFonts w:eastAsia="Times New Roman"/>
          <w:b/>
          <w:bCs/>
          <w:sz w:val="20"/>
          <w:szCs w:val="20"/>
          <w:lang w:eastAsia="ko-KR"/>
        </w:rPr>
        <w:t xml:space="preserve">: </w:t>
      </w:r>
      <w:r>
        <w:rPr>
          <w:rFonts w:eastAsia="Times New Roman"/>
          <w:sz w:val="20"/>
          <w:szCs w:val="20"/>
          <w:lang w:eastAsia="ko-KR"/>
        </w:rPr>
        <w:t>Set B is changed among pre-configured patterns</w:t>
      </w:r>
      <w:r>
        <w:rPr>
          <w:rFonts w:hint="eastAsia"/>
          <w:sz w:val="20"/>
          <w:szCs w:val="20"/>
        </w:rPr>
        <w:t xml:space="preserve"> </w:t>
      </w:r>
      <w:r>
        <w:rPr>
          <w:rFonts w:hint="eastAsia" w:eastAsia="Times New Roman"/>
          <w:sz w:val="20"/>
          <w:szCs w:val="20"/>
        </w:rPr>
        <w:t>(one beam pattern is randomly selected from 4 beam patterns in each past time instance)</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 xml:space="preserve">Case 2-1-3: </w:t>
      </w:r>
      <w:r>
        <w:rPr>
          <w:rFonts w:hint="eastAsia" w:eastAsia="Times New Roman"/>
          <w:sz w:val="20"/>
          <w:szCs w:val="20"/>
        </w:rPr>
        <w:t>Set B consists of Top-4 beams of the beam set for measurement in each past time instance, on the basis of Case 2-1-1</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 xml:space="preserve">Case 2-1-4: </w:t>
      </w:r>
      <w:r>
        <w:rPr>
          <w:rFonts w:hint="eastAsia" w:eastAsia="Times New Roman"/>
          <w:sz w:val="20"/>
          <w:szCs w:val="20"/>
        </w:rPr>
        <w:t>Set B consists of Top-2 beams of the beam set for measurement in each past time instance, on the basis of Case 2-1-1</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 xml:space="preserve">Case 2-1-5: </w:t>
      </w:r>
      <w:r>
        <w:rPr>
          <w:rFonts w:hint="eastAsia" w:eastAsia="Times New Roman"/>
          <w:sz w:val="20"/>
          <w:szCs w:val="20"/>
        </w:rPr>
        <w:t>Set B consists of Top-1 beams of the beam set for measurement in each past time instance, on the basis of Case 2-1-1</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 xml:space="preserve">Case 2-1-6: </w:t>
      </w:r>
      <w:r>
        <w:rPr>
          <w:rFonts w:hint="eastAsia" w:eastAsia="Times New Roman"/>
          <w:sz w:val="20"/>
          <w:szCs w:val="20"/>
        </w:rPr>
        <w:t>Set B is fixed during the observation window</w:t>
      </w:r>
    </w:p>
    <w:p>
      <w:pPr>
        <w:snapToGrid w:val="0"/>
        <w:spacing w:before="72" w:beforeLines="30" w:after="72" w:afterLines="30" w:line="288" w:lineRule="auto"/>
        <w:jc w:val="center"/>
        <w:rPr>
          <w:rFonts w:eastAsia="Times New Roman"/>
          <w:sz w:val="20"/>
          <w:szCs w:val="20"/>
          <w:lang w:val="en-GB"/>
        </w:rPr>
      </w:pPr>
      <w:r>
        <w:rPr>
          <w:rFonts w:hint="eastAsia" w:eastAsia="Times New Roman"/>
          <w:sz w:val="20"/>
          <w:szCs w:val="20"/>
          <w:lang w:val="en-GB"/>
        </w:rPr>
        <w:t xml:space="preserve">Table </w:t>
      </w:r>
      <w:r>
        <w:rPr>
          <w:rFonts w:hint="eastAsia" w:eastAsia="Times New Roman"/>
          <w:sz w:val="20"/>
          <w:szCs w:val="20"/>
          <w:lang w:val="en-GB"/>
        </w:rPr>
        <w:fldChar w:fldCharType="begin"/>
      </w:r>
      <w:r>
        <w:rPr>
          <w:rFonts w:hint="eastAsia" w:eastAsia="Times New Roman"/>
          <w:sz w:val="20"/>
          <w:szCs w:val="20"/>
          <w:lang w:val="en-GB"/>
        </w:rPr>
        <w:instrText xml:space="preserve"> = 14 \* ROMAN \* MERGEFORMAT </w:instrText>
      </w:r>
      <w:r>
        <w:rPr>
          <w:rFonts w:hint="eastAsia" w:eastAsia="Times New Roman"/>
          <w:sz w:val="20"/>
          <w:szCs w:val="20"/>
          <w:lang w:val="en-GB"/>
        </w:rPr>
        <w:fldChar w:fldCharType="separate"/>
      </w:r>
      <w:r>
        <w:rPr>
          <w:rFonts w:hint="eastAsia" w:eastAsia="Times New Roman"/>
          <w:sz w:val="20"/>
          <w:szCs w:val="20"/>
          <w:lang w:val="en-GB"/>
        </w:rPr>
        <w:t>XIV</w:t>
      </w:r>
      <w:r>
        <w:rPr>
          <w:rFonts w:hint="eastAsia" w:eastAsia="Times New Roman"/>
          <w:sz w:val="20"/>
          <w:szCs w:val="20"/>
          <w:lang w:val="en-GB"/>
        </w:rPr>
        <w:fldChar w:fldCharType="end"/>
      </w:r>
      <w:r>
        <w:rPr>
          <w:rFonts w:hint="eastAsia" w:eastAsia="Times New Roman"/>
          <w:sz w:val="20"/>
          <w:szCs w:val="20"/>
          <w:lang w:val="en-GB"/>
        </w:rPr>
        <w:t>.  Performance comparison of fixed Set B and variable Set B across observation slots (UE speed</w:t>
      </w:r>
      <w:r>
        <w:rPr>
          <w:rFonts w:hint="eastAsia" w:eastAsia="Times New Roman"/>
          <w:sz w:val="20"/>
          <w:szCs w:val="20"/>
        </w:rPr>
        <w:t>:</w:t>
      </w:r>
      <w:r>
        <w:rPr>
          <w:rFonts w:hint="eastAsia" w:eastAsia="Times New Roman"/>
          <w:sz w:val="20"/>
          <w:szCs w:val="20"/>
          <w:lang w:val="en-GB"/>
        </w:rPr>
        <w:t xml:space="preserve"> 30km/h)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312"/>
        <w:gridCol w:w="750"/>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2625" w:type="dxa"/>
            <w:gridSpan w:val="2"/>
            <w:vMerge w:val="restart"/>
            <w:vAlign w:val="center"/>
          </w:tcPr>
          <w:p>
            <w:pPr>
              <w:snapToGrid w:val="0"/>
              <w:spacing w:before="72" w:beforeLines="30" w:after="72" w:afterLines="30" w:line="288" w:lineRule="auto"/>
              <w:jc w:val="center"/>
              <w:rPr>
                <w:bCs/>
                <w:sz w:val="20"/>
                <w:szCs w:val="20"/>
              </w:rPr>
            </w:pPr>
            <w:r>
              <w:rPr>
                <w:bCs/>
                <w:sz w:val="20"/>
                <w:szCs w:val="20"/>
              </w:rPr>
              <w:t>Cases</w:t>
            </w:r>
          </w:p>
        </w:tc>
        <w:tc>
          <w:tcPr>
            <w:tcW w:w="750" w:type="dxa"/>
            <w:vMerge w:val="restart"/>
            <w:vAlign w:val="center"/>
          </w:tcPr>
          <w:p>
            <w:pPr>
              <w:snapToGrid w:val="0"/>
              <w:spacing w:before="72" w:beforeLines="30" w:after="72" w:afterLines="30" w:line="288" w:lineRule="auto"/>
              <w:jc w:val="center"/>
              <w:rPr>
                <w:bCs/>
                <w:sz w:val="20"/>
                <w:szCs w:val="20"/>
              </w:rPr>
            </w:pPr>
            <w:r>
              <w:rPr>
                <w:bCs/>
                <w:sz w:val="20"/>
                <w:szCs w:val="20"/>
              </w:rPr>
              <w:t>Top-K</w:t>
            </w:r>
          </w:p>
        </w:tc>
        <w:tc>
          <w:tcPr>
            <w:tcW w:w="3330" w:type="dxa"/>
            <w:gridSpan w:val="5"/>
            <w:vAlign w:val="center"/>
          </w:tcPr>
          <w:p>
            <w:pPr>
              <w:snapToGrid w:val="0"/>
              <w:spacing w:before="72" w:beforeLines="30" w:after="72" w:afterLines="30" w:line="288" w:lineRule="auto"/>
              <w:jc w:val="center"/>
              <w:rPr>
                <w:bCs/>
                <w:sz w:val="20"/>
                <w:szCs w:val="20"/>
              </w:rPr>
            </w:pPr>
            <w:r>
              <w:rPr>
                <w:bCs/>
                <w:sz w:val="20"/>
                <w:szCs w:val="20"/>
              </w:rPr>
              <w:t>Top-K 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2625" w:type="dxa"/>
            <w:gridSpan w:val="2"/>
            <w:vMerge w:val="continue"/>
            <w:vAlign w:val="center"/>
          </w:tcPr>
          <w:p>
            <w:pPr>
              <w:snapToGrid w:val="0"/>
              <w:spacing w:before="72" w:beforeLines="30" w:after="72" w:afterLines="30" w:line="288" w:lineRule="auto"/>
              <w:jc w:val="center"/>
              <w:rPr>
                <w:bCs/>
                <w:sz w:val="20"/>
                <w:szCs w:val="20"/>
              </w:rPr>
            </w:pPr>
          </w:p>
        </w:tc>
        <w:tc>
          <w:tcPr>
            <w:tcW w:w="750" w:type="dxa"/>
            <w:vMerge w:val="continue"/>
            <w:vAlign w:val="center"/>
          </w:tcPr>
          <w:p>
            <w:pPr>
              <w:snapToGrid w:val="0"/>
              <w:spacing w:before="72" w:beforeLines="30" w:after="72" w:afterLines="30" w:line="288" w:lineRule="auto"/>
              <w:jc w:val="center"/>
              <w:rPr>
                <w:bCs/>
                <w:sz w:val="20"/>
                <w:szCs w:val="20"/>
                <w:lang w:eastAsia="en-GB"/>
              </w:rPr>
            </w:pPr>
          </w:p>
        </w:tc>
        <w:tc>
          <w:tcPr>
            <w:tcW w:w="666" w:type="dxa"/>
            <w:vAlign w:val="center"/>
          </w:tcPr>
          <w:p>
            <w:pPr>
              <w:snapToGrid w:val="0"/>
              <w:spacing w:before="72" w:beforeLines="30" w:after="72" w:afterLines="30" w:line="288" w:lineRule="auto"/>
              <w:jc w:val="center"/>
              <w:rPr>
                <w:bCs/>
                <w:i/>
                <w:iCs/>
                <w:sz w:val="20"/>
                <w:szCs w:val="20"/>
              </w:rPr>
            </w:pPr>
            <w:r>
              <w:rPr>
                <w:bCs/>
                <w:sz w:val="20"/>
                <w:szCs w:val="20"/>
                <w:lang w:eastAsia="en-GB"/>
              </w:rPr>
              <w:t>T+1</w:t>
            </w:r>
          </w:p>
        </w:tc>
        <w:tc>
          <w:tcPr>
            <w:tcW w:w="666" w:type="dxa"/>
            <w:vAlign w:val="center"/>
          </w:tcPr>
          <w:p>
            <w:pPr>
              <w:snapToGrid w:val="0"/>
              <w:spacing w:before="72" w:beforeLines="30" w:after="72" w:afterLines="30" w:line="288" w:lineRule="auto"/>
              <w:jc w:val="center"/>
              <w:rPr>
                <w:bCs/>
                <w:i/>
                <w:iCs/>
                <w:sz w:val="20"/>
                <w:szCs w:val="20"/>
              </w:rPr>
            </w:pPr>
            <w:r>
              <w:rPr>
                <w:bCs/>
                <w:sz w:val="20"/>
                <w:szCs w:val="20"/>
                <w:lang w:eastAsia="en-GB"/>
              </w:rPr>
              <w:t>T+2</w:t>
            </w:r>
          </w:p>
        </w:tc>
        <w:tc>
          <w:tcPr>
            <w:tcW w:w="666" w:type="dxa"/>
            <w:vAlign w:val="center"/>
          </w:tcPr>
          <w:p>
            <w:pPr>
              <w:snapToGrid w:val="0"/>
              <w:spacing w:before="72" w:beforeLines="30" w:after="72" w:afterLines="30" w:line="288" w:lineRule="auto"/>
              <w:jc w:val="center"/>
              <w:rPr>
                <w:bCs/>
                <w:i/>
                <w:iCs/>
                <w:sz w:val="20"/>
                <w:szCs w:val="20"/>
              </w:rPr>
            </w:pPr>
            <w:r>
              <w:rPr>
                <w:bCs/>
                <w:sz w:val="20"/>
                <w:szCs w:val="20"/>
                <w:lang w:eastAsia="en-GB"/>
              </w:rPr>
              <w:t>T+3</w:t>
            </w:r>
          </w:p>
        </w:tc>
        <w:tc>
          <w:tcPr>
            <w:tcW w:w="666" w:type="dxa"/>
            <w:vAlign w:val="center"/>
          </w:tcPr>
          <w:p>
            <w:pPr>
              <w:snapToGrid w:val="0"/>
              <w:spacing w:before="72" w:beforeLines="30" w:after="72" w:afterLines="30" w:line="288" w:lineRule="auto"/>
              <w:jc w:val="center"/>
              <w:rPr>
                <w:bCs/>
                <w:i/>
                <w:iCs/>
                <w:sz w:val="20"/>
                <w:szCs w:val="20"/>
              </w:rPr>
            </w:pPr>
            <w:r>
              <w:rPr>
                <w:bCs/>
                <w:sz w:val="20"/>
                <w:szCs w:val="20"/>
                <w:lang w:eastAsia="en-GB"/>
              </w:rPr>
              <w:t>T+4</w:t>
            </w:r>
          </w:p>
        </w:tc>
        <w:tc>
          <w:tcPr>
            <w:tcW w:w="666" w:type="dxa"/>
            <w:vAlign w:val="center"/>
          </w:tcPr>
          <w:p>
            <w:pPr>
              <w:snapToGrid w:val="0"/>
              <w:spacing w:before="72" w:beforeLines="30" w:after="72" w:afterLines="30" w:line="288" w:lineRule="auto"/>
              <w:jc w:val="center"/>
              <w:rPr>
                <w:bCs/>
                <w:sz w:val="20"/>
                <w:szCs w:val="20"/>
                <w:lang w:eastAsia="en-GB"/>
              </w:rPr>
            </w:pPr>
            <w:r>
              <w:rPr>
                <w:bCs/>
                <w:sz w:val="20"/>
                <w:szCs w:val="20"/>
                <w:lang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restart"/>
            <w:vAlign w:val="center"/>
          </w:tcPr>
          <w:p>
            <w:pPr>
              <w:snapToGrid w:val="0"/>
              <w:spacing w:before="72" w:beforeLines="30" w:after="72" w:afterLines="30" w:line="288" w:lineRule="auto"/>
              <w:jc w:val="center"/>
              <w:rPr>
                <w:bCs/>
                <w:sz w:val="20"/>
                <w:szCs w:val="20"/>
              </w:rPr>
            </w:pPr>
            <w:r>
              <w:rPr>
                <w:bCs/>
                <w:sz w:val="20"/>
                <w:szCs w:val="20"/>
              </w:rPr>
              <w:t>Case 2-1-1</w:t>
            </w:r>
          </w:p>
        </w:tc>
        <w:tc>
          <w:tcPr>
            <w:tcW w:w="1312" w:type="dxa"/>
            <w:vAlign w:val="center"/>
          </w:tcPr>
          <w:p>
            <w:pPr>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65.09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64.46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63.83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63.27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continue"/>
            <w:vAlign w:val="center"/>
          </w:tcPr>
          <w:p>
            <w:pPr>
              <w:snapToGrid w:val="0"/>
              <w:spacing w:before="72" w:beforeLines="30" w:after="72" w:afterLines="30" w:line="288" w:lineRule="auto"/>
              <w:jc w:val="center"/>
              <w:rPr>
                <w:bCs/>
                <w:sz w:val="20"/>
                <w:szCs w:val="20"/>
              </w:rPr>
            </w:pPr>
          </w:p>
        </w:tc>
        <w:tc>
          <w:tcPr>
            <w:tcW w:w="1312" w:type="dxa"/>
            <w:vAlign w:val="center"/>
          </w:tcPr>
          <w:p>
            <w:pPr>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98.05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98.27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98.10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98.03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color w:val="000000"/>
                <w:sz w:val="20"/>
                <w:szCs w:val="20"/>
              </w:rPr>
              <w:t>97.53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restart"/>
            <w:vAlign w:val="center"/>
          </w:tcPr>
          <w:p>
            <w:pPr>
              <w:snapToGrid w:val="0"/>
              <w:spacing w:before="72" w:beforeLines="30" w:after="72" w:afterLines="30" w:line="288" w:lineRule="auto"/>
              <w:jc w:val="center"/>
              <w:rPr>
                <w:bCs/>
                <w:sz w:val="20"/>
                <w:szCs w:val="20"/>
              </w:rPr>
            </w:pPr>
            <w:r>
              <w:rPr>
                <w:bCs/>
                <w:sz w:val="20"/>
                <w:szCs w:val="20"/>
              </w:rPr>
              <w:t>Case 2-1-2</w:t>
            </w:r>
          </w:p>
        </w:tc>
        <w:tc>
          <w:tcPr>
            <w:tcW w:w="1312" w:type="dxa"/>
            <w:vAlign w:val="center"/>
          </w:tcPr>
          <w:p>
            <w:pPr>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62.83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62.29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61.78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60.75</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continue"/>
            <w:vAlign w:val="center"/>
          </w:tcPr>
          <w:p>
            <w:pPr>
              <w:snapToGrid w:val="0"/>
              <w:spacing w:before="72" w:beforeLines="30" w:after="72" w:afterLines="30" w:line="288" w:lineRule="auto"/>
              <w:jc w:val="center"/>
              <w:rPr>
                <w:bCs/>
                <w:sz w:val="20"/>
                <w:szCs w:val="20"/>
              </w:rPr>
            </w:pPr>
          </w:p>
        </w:tc>
        <w:tc>
          <w:tcPr>
            <w:tcW w:w="1312" w:type="dxa"/>
            <w:vAlign w:val="center"/>
          </w:tcPr>
          <w:p>
            <w:pPr>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95.49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94.95</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93.92</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93.24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restart"/>
            <w:vAlign w:val="center"/>
          </w:tcPr>
          <w:p>
            <w:pPr>
              <w:snapToGrid w:val="0"/>
              <w:spacing w:before="72" w:beforeLines="30" w:after="72" w:afterLines="30" w:line="288" w:lineRule="auto"/>
              <w:jc w:val="center"/>
              <w:rPr>
                <w:bCs/>
                <w:sz w:val="20"/>
                <w:szCs w:val="20"/>
              </w:rPr>
            </w:pPr>
            <w:r>
              <w:rPr>
                <w:bCs/>
                <w:sz w:val="20"/>
                <w:szCs w:val="20"/>
              </w:rPr>
              <w:t>Case 2-1-3</w:t>
            </w:r>
          </w:p>
        </w:tc>
        <w:tc>
          <w:tcPr>
            <w:tcW w:w="1312" w:type="dxa"/>
            <w:vAlign w:val="center"/>
          </w:tcPr>
          <w:p>
            <w:pPr>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65.25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64.61</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63.65</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62.47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continue"/>
            <w:vAlign w:val="center"/>
          </w:tcPr>
          <w:p>
            <w:pPr>
              <w:snapToGrid w:val="0"/>
              <w:spacing w:before="72" w:beforeLines="30" w:after="72" w:afterLines="30" w:line="288" w:lineRule="auto"/>
              <w:jc w:val="center"/>
              <w:rPr>
                <w:bCs/>
                <w:sz w:val="20"/>
                <w:szCs w:val="20"/>
              </w:rPr>
            </w:pPr>
          </w:p>
        </w:tc>
        <w:tc>
          <w:tcPr>
            <w:tcW w:w="1312" w:type="dxa"/>
            <w:vAlign w:val="center"/>
          </w:tcPr>
          <w:p>
            <w:pPr>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97.87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97.97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97.79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97.39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restart"/>
            <w:vAlign w:val="center"/>
          </w:tcPr>
          <w:p>
            <w:pPr>
              <w:snapToGrid w:val="0"/>
              <w:spacing w:before="72" w:beforeLines="30" w:after="72" w:afterLines="30" w:line="288" w:lineRule="auto"/>
              <w:jc w:val="center"/>
              <w:rPr>
                <w:bCs/>
                <w:sz w:val="20"/>
                <w:szCs w:val="20"/>
              </w:rPr>
            </w:pPr>
            <w:r>
              <w:rPr>
                <w:bCs/>
                <w:sz w:val="20"/>
                <w:szCs w:val="20"/>
              </w:rPr>
              <w:t>Case 2-1-4</w:t>
            </w:r>
          </w:p>
        </w:tc>
        <w:tc>
          <w:tcPr>
            <w:tcW w:w="1312" w:type="dxa"/>
            <w:vAlign w:val="center"/>
          </w:tcPr>
          <w:p>
            <w:pPr>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62.10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60.72</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59.19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57.92</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56.51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continue"/>
            <w:vAlign w:val="center"/>
          </w:tcPr>
          <w:p>
            <w:pPr>
              <w:snapToGrid w:val="0"/>
              <w:spacing w:before="72" w:beforeLines="30" w:after="72" w:afterLines="30" w:line="288" w:lineRule="auto"/>
              <w:jc w:val="center"/>
              <w:rPr>
                <w:bCs/>
                <w:sz w:val="20"/>
                <w:szCs w:val="20"/>
              </w:rPr>
            </w:pPr>
          </w:p>
        </w:tc>
        <w:tc>
          <w:tcPr>
            <w:tcW w:w="1312" w:type="dxa"/>
            <w:vAlign w:val="center"/>
          </w:tcPr>
          <w:p>
            <w:pPr>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96.78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96.22</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96.29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95.34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restart"/>
            <w:vAlign w:val="center"/>
          </w:tcPr>
          <w:p>
            <w:pPr>
              <w:snapToGrid w:val="0"/>
              <w:spacing w:before="72" w:beforeLines="30" w:after="72" w:afterLines="30" w:line="288" w:lineRule="auto"/>
              <w:jc w:val="center"/>
              <w:rPr>
                <w:bCs/>
                <w:sz w:val="20"/>
                <w:szCs w:val="20"/>
              </w:rPr>
            </w:pPr>
            <w:r>
              <w:rPr>
                <w:bCs/>
                <w:sz w:val="20"/>
                <w:szCs w:val="20"/>
              </w:rPr>
              <w:t>Case 2-1-5</w:t>
            </w:r>
          </w:p>
        </w:tc>
        <w:tc>
          <w:tcPr>
            <w:tcW w:w="1312" w:type="dxa"/>
            <w:vAlign w:val="center"/>
          </w:tcPr>
          <w:p>
            <w:pPr>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53.80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51.60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49.93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48.24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46.63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continue"/>
            <w:vAlign w:val="center"/>
          </w:tcPr>
          <w:p>
            <w:pPr>
              <w:snapToGrid w:val="0"/>
              <w:spacing w:before="72" w:beforeLines="30" w:after="72" w:afterLines="30" w:line="288" w:lineRule="auto"/>
              <w:jc w:val="center"/>
              <w:rPr>
                <w:bCs/>
                <w:sz w:val="20"/>
                <w:szCs w:val="20"/>
              </w:rPr>
            </w:pPr>
          </w:p>
        </w:tc>
        <w:tc>
          <w:tcPr>
            <w:tcW w:w="1312" w:type="dxa"/>
            <w:vAlign w:val="center"/>
          </w:tcPr>
          <w:p>
            <w:pPr>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93.06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92.18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91.38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90.76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89.47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restart"/>
            <w:vAlign w:val="center"/>
          </w:tcPr>
          <w:p>
            <w:pPr>
              <w:snapToGrid w:val="0"/>
              <w:spacing w:before="72" w:beforeLines="30" w:after="72" w:afterLines="30" w:line="288" w:lineRule="auto"/>
              <w:jc w:val="center"/>
              <w:rPr>
                <w:bCs/>
                <w:sz w:val="20"/>
                <w:szCs w:val="20"/>
              </w:rPr>
            </w:pPr>
            <w:r>
              <w:rPr>
                <w:bCs/>
                <w:sz w:val="20"/>
                <w:szCs w:val="20"/>
              </w:rPr>
              <w:t>Case 2-1-6</w:t>
            </w:r>
          </w:p>
        </w:tc>
        <w:tc>
          <w:tcPr>
            <w:tcW w:w="1312" w:type="dxa"/>
            <w:vAlign w:val="center"/>
          </w:tcPr>
          <w:p>
            <w:pPr>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25.82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26.09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25.75</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25.66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25.45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313" w:type="dxa"/>
            <w:vMerge w:val="continue"/>
            <w:vAlign w:val="center"/>
          </w:tcPr>
          <w:p>
            <w:pPr>
              <w:snapToGrid w:val="0"/>
              <w:spacing w:before="72" w:beforeLines="30" w:after="72" w:afterLines="30" w:line="288" w:lineRule="auto"/>
              <w:jc w:val="center"/>
              <w:rPr>
                <w:bCs/>
                <w:sz w:val="20"/>
                <w:szCs w:val="20"/>
              </w:rPr>
            </w:pPr>
          </w:p>
        </w:tc>
        <w:tc>
          <w:tcPr>
            <w:tcW w:w="1312" w:type="dxa"/>
            <w:vAlign w:val="center"/>
          </w:tcPr>
          <w:p>
            <w:pPr>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 xml:space="preserve">98.02 </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98.07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97.69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97.73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96.67</w:t>
            </w:r>
          </w:p>
        </w:tc>
      </w:tr>
    </w:tbl>
    <w:p>
      <w:pPr>
        <w:snapToGrid w:val="0"/>
        <w:spacing w:before="72" w:beforeLines="30" w:after="72" w:afterLines="30" w:line="288" w:lineRule="auto"/>
        <w:jc w:val="both"/>
        <w:rPr>
          <w:sz w:val="20"/>
          <w:szCs w:val="20"/>
        </w:rPr>
      </w:pPr>
      <w:r>
        <w:rPr>
          <w:rFonts w:hint="eastAsia" w:eastAsia="Times New Roman"/>
          <w:sz w:val="20"/>
          <w:szCs w:val="20"/>
        </w:rPr>
        <w:t>T</w:t>
      </w:r>
      <w:r>
        <w:rPr>
          <w:rFonts w:hint="eastAsia" w:eastAsia="Times New Roman"/>
          <w:sz w:val="20"/>
          <w:szCs w:val="20"/>
          <w:lang w:val="en-GB"/>
        </w:rPr>
        <w:t xml:space="preserve">he simulation results </w:t>
      </w:r>
      <w:r>
        <w:rPr>
          <w:rFonts w:hint="eastAsia" w:eastAsia="Times New Roman"/>
          <w:sz w:val="20"/>
          <w:szCs w:val="20"/>
        </w:rPr>
        <w:t xml:space="preserve">are </w:t>
      </w:r>
      <w:r>
        <w:rPr>
          <w:rFonts w:hint="eastAsia" w:eastAsia="Times New Roman"/>
          <w:sz w:val="20"/>
          <w:szCs w:val="20"/>
          <w:lang w:val="en-GB"/>
        </w:rPr>
        <w:t xml:space="preserve">shown in Table </w:t>
      </w:r>
      <w:r>
        <w:rPr>
          <w:rFonts w:hint="eastAsia" w:eastAsia="Times New Roman"/>
          <w:sz w:val="20"/>
          <w:szCs w:val="20"/>
          <w:lang w:val="en-GB"/>
        </w:rPr>
        <w:fldChar w:fldCharType="begin"/>
      </w:r>
      <w:r>
        <w:rPr>
          <w:rFonts w:hint="eastAsia" w:eastAsia="Times New Roman"/>
          <w:sz w:val="20"/>
          <w:szCs w:val="20"/>
          <w:lang w:val="en-GB"/>
        </w:rPr>
        <w:instrText xml:space="preserve"> = 14 \* ROMAN \* MERGEFORMAT </w:instrText>
      </w:r>
      <w:r>
        <w:rPr>
          <w:rFonts w:hint="eastAsia" w:eastAsia="Times New Roman"/>
          <w:sz w:val="20"/>
          <w:szCs w:val="20"/>
          <w:lang w:val="en-GB"/>
        </w:rPr>
        <w:fldChar w:fldCharType="separate"/>
      </w:r>
      <w:r>
        <w:rPr>
          <w:rFonts w:hint="eastAsia" w:eastAsia="Times New Roman"/>
          <w:sz w:val="20"/>
          <w:szCs w:val="20"/>
          <w:lang w:val="en-GB"/>
        </w:rPr>
        <w:t>XIV</w:t>
      </w:r>
      <w:r>
        <w:rPr>
          <w:rFonts w:hint="eastAsia" w:eastAsia="Times New Roman"/>
          <w:sz w:val="20"/>
          <w:szCs w:val="20"/>
          <w:lang w:val="en-GB"/>
        </w:rPr>
        <w:fldChar w:fldCharType="end"/>
      </w:r>
      <w:r>
        <w:rPr>
          <w:rFonts w:hint="eastAsia" w:eastAsia="Times New Roman"/>
          <w:sz w:val="20"/>
          <w:szCs w:val="20"/>
        </w:rPr>
        <w:t>. As observed, a</w:t>
      </w:r>
      <w:r>
        <w:rPr>
          <w:rFonts w:hint="eastAsia" w:eastAsia="Times New Roman"/>
          <w:sz w:val="20"/>
          <w:szCs w:val="20"/>
          <w:lang w:val="en-GB"/>
        </w:rPr>
        <w:t xml:space="preserve"> significant performance gain </w:t>
      </w:r>
      <w:r>
        <w:rPr>
          <w:rFonts w:hint="eastAsia" w:eastAsia="Times New Roman"/>
          <w:sz w:val="20"/>
          <w:szCs w:val="20"/>
        </w:rPr>
        <w:t xml:space="preserve">over the non-AI method </w:t>
      </w:r>
      <w:r>
        <w:rPr>
          <w:rFonts w:hint="eastAsia" w:eastAsia="Times New Roman"/>
          <w:sz w:val="20"/>
          <w:szCs w:val="20"/>
          <w:lang w:val="en-GB"/>
        </w:rPr>
        <w:t xml:space="preserve">can be achieved by the AI based temporal beam prediction in terms of beam prediction accuracy for Top-4 beams. Additionally, </w:t>
      </w:r>
      <w:r>
        <w:rPr>
          <w:rFonts w:hint="eastAsia" w:eastAsia="Times New Roman"/>
          <w:sz w:val="20"/>
          <w:szCs w:val="20"/>
        </w:rPr>
        <w:t>c</w:t>
      </w:r>
      <w:r>
        <w:rPr>
          <w:rFonts w:hint="eastAsia" w:eastAsia="Times New Roman"/>
          <w:sz w:val="20"/>
          <w:szCs w:val="20"/>
          <w:lang w:val="en-GB"/>
        </w:rPr>
        <w:t xml:space="preserve">ompared with the case </w:t>
      </w:r>
      <w:r>
        <w:rPr>
          <w:rFonts w:hint="eastAsia" w:eastAsia="Times New Roman"/>
          <w:sz w:val="20"/>
          <w:szCs w:val="20"/>
        </w:rPr>
        <w:t xml:space="preserve">that </w:t>
      </w:r>
      <w:r>
        <w:rPr>
          <w:rFonts w:hint="eastAsia" w:eastAsia="Times New Roman"/>
          <w:sz w:val="20"/>
          <w:szCs w:val="20"/>
          <w:lang w:val="en-GB"/>
        </w:rPr>
        <w:t>Set B is fixed across training and inference</w:t>
      </w:r>
      <w:r>
        <w:rPr>
          <w:rFonts w:hint="eastAsia" w:eastAsia="Times New Roman"/>
          <w:sz w:val="20"/>
          <w:szCs w:val="20"/>
        </w:rPr>
        <w:t xml:space="preserve"> </w:t>
      </w:r>
      <w:r>
        <w:rPr>
          <w:rFonts w:hint="eastAsia" w:eastAsia="Times New Roman"/>
          <w:sz w:val="20"/>
          <w:szCs w:val="20"/>
          <w:lang w:val="en-GB"/>
        </w:rPr>
        <w:t>(</w:t>
      </w:r>
      <w:r>
        <w:rPr>
          <w:rFonts w:hint="eastAsia" w:eastAsia="Times New Roman"/>
          <w:sz w:val="20"/>
          <w:szCs w:val="20"/>
        </w:rPr>
        <w:t xml:space="preserve">i.e., </w:t>
      </w:r>
      <w:r>
        <w:rPr>
          <w:rFonts w:hint="eastAsia" w:eastAsia="Times New Roman"/>
          <w:sz w:val="20"/>
          <w:szCs w:val="20"/>
          <w:lang w:val="en-GB"/>
        </w:rPr>
        <w:t>Case 2-1-6), a slight performance gain is observed if Set B is changed following a set of pre-configured patterns</w:t>
      </w:r>
      <w:r>
        <w:rPr>
          <w:rFonts w:hint="eastAsia" w:eastAsia="Times New Roman"/>
          <w:sz w:val="20"/>
          <w:szCs w:val="20"/>
        </w:rPr>
        <w:t xml:space="preserve"> </w:t>
      </w:r>
      <w:r>
        <w:rPr>
          <w:rFonts w:hint="eastAsia" w:eastAsia="Times New Roman"/>
          <w:sz w:val="20"/>
          <w:szCs w:val="20"/>
          <w:lang w:val="en-GB"/>
        </w:rPr>
        <w:t>(</w:t>
      </w:r>
      <w:r>
        <w:rPr>
          <w:rFonts w:hint="eastAsia" w:eastAsia="Times New Roman"/>
          <w:sz w:val="20"/>
          <w:szCs w:val="20"/>
        </w:rPr>
        <w:t xml:space="preserve">i.e., </w:t>
      </w:r>
      <w:r>
        <w:rPr>
          <w:rFonts w:hint="eastAsia" w:eastAsia="Times New Roman"/>
          <w:sz w:val="20"/>
          <w:szCs w:val="20"/>
          <w:lang w:val="en-GB"/>
        </w:rPr>
        <w:t xml:space="preserve">Case 2-1-1).  </w:t>
      </w:r>
      <w:r>
        <w:rPr>
          <w:rFonts w:hint="eastAsia" w:eastAsia="Times New Roman"/>
          <w:sz w:val="20"/>
          <w:szCs w:val="20"/>
        </w:rPr>
        <w:t>C</w:t>
      </w:r>
      <w:r>
        <w:rPr>
          <w:rFonts w:hint="eastAsia" w:eastAsia="Times New Roman"/>
          <w:sz w:val="20"/>
          <w:szCs w:val="20"/>
          <w:lang w:val="en-GB"/>
        </w:rPr>
        <w:t xml:space="preserve">ompared with the case </w:t>
      </w:r>
      <w:r>
        <w:rPr>
          <w:rFonts w:hint="eastAsia" w:eastAsia="Times New Roman"/>
          <w:sz w:val="20"/>
          <w:szCs w:val="20"/>
        </w:rPr>
        <w:t xml:space="preserve">that the beam pattern of </w:t>
      </w:r>
      <w:r>
        <w:rPr>
          <w:rFonts w:hint="eastAsia" w:eastAsia="Times New Roman"/>
          <w:sz w:val="20"/>
          <w:szCs w:val="20"/>
          <w:lang w:val="en-GB"/>
        </w:rPr>
        <w:t xml:space="preserve">Set B is randomly selected from 4 </w:t>
      </w:r>
      <w:r>
        <w:rPr>
          <w:rFonts w:hint="eastAsia" w:eastAsia="Times New Roman"/>
          <w:sz w:val="20"/>
          <w:szCs w:val="20"/>
        </w:rPr>
        <w:t xml:space="preserve">beam </w:t>
      </w:r>
      <w:r>
        <w:rPr>
          <w:rFonts w:hint="eastAsia" w:eastAsia="Times New Roman"/>
          <w:sz w:val="20"/>
          <w:szCs w:val="20"/>
          <w:lang w:val="en-GB"/>
        </w:rPr>
        <w:t xml:space="preserve">patterns in </w:t>
      </w:r>
      <w:r>
        <w:rPr>
          <w:rFonts w:hint="eastAsia" w:eastAsia="Times New Roman"/>
          <w:sz w:val="20"/>
          <w:szCs w:val="20"/>
        </w:rPr>
        <w:t xml:space="preserve">each past time instance </w:t>
      </w:r>
      <w:r>
        <w:rPr>
          <w:rFonts w:hint="eastAsia" w:eastAsia="Times New Roman"/>
          <w:sz w:val="20"/>
          <w:szCs w:val="20"/>
          <w:lang w:val="en-GB"/>
        </w:rPr>
        <w:t>(</w:t>
      </w:r>
      <w:r>
        <w:rPr>
          <w:rFonts w:hint="eastAsia" w:eastAsia="Times New Roman"/>
          <w:sz w:val="20"/>
          <w:szCs w:val="20"/>
        </w:rPr>
        <w:t xml:space="preserve">i.e., </w:t>
      </w:r>
      <w:r>
        <w:rPr>
          <w:rFonts w:hint="eastAsia" w:eastAsia="Times New Roman"/>
          <w:sz w:val="20"/>
          <w:szCs w:val="20"/>
          <w:lang w:val="en-GB"/>
        </w:rPr>
        <w:t>Case 2-1-2), a slight performance gain is observed if Set B is changed following a set of pre-configured patterns</w:t>
      </w:r>
      <w:r>
        <w:rPr>
          <w:rFonts w:hint="eastAsia" w:eastAsia="Times New Roman"/>
          <w:sz w:val="20"/>
          <w:szCs w:val="20"/>
        </w:rPr>
        <w:t xml:space="preserve"> </w:t>
      </w:r>
      <w:r>
        <w:rPr>
          <w:rFonts w:hint="eastAsia" w:eastAsia="Times New Roman"/>
          <w:sz w:val="20"/>
          <w:szCs w:val="20"/>
          <w:lang w:val="en-GB"/>
        </w:rPr>
        <w:t>(</w:t>
      </w:r>
      <w:r>
        <w:rPr>
          <w:rFonts w:hint="eastAsia" w:eastAsia="Times New Roman"/>
          <w:sz w:val="20"/>
          <w:szCs w:val="20"/>
        </w:rPr>
        <w:t xml:space="preserve">i.e., </w:t>
      </w:r>
      <w:r>
        <w:rPr>
          <w:rFonts w:hint="eastAsia" w:eastAsia="Times New Roman"/>
          <w:sz w:val="20"/>
          <w:szCs w:val="20"/>
          <w:lang w:val="en-GB"/>
        </w:rPr>
        <w:t>Case 2-1-1).</w:t>
      </w:r>
      <w:r>
        <w:rPr>
          <w:rFonts w:hint="eastAsia"/>
          <w:sz w:val="20"/>
          <w:szCs w:val="20"/>
        </w:rPr>
        <w:t xml:space="preserve"> Besides, as can be seen from the simulation results of </w:t>
      </w:r>
      <w:r>
        <w:rPr>
          <w:rFonts w:hint="eastAsia" w:eastAsia="Times New Roman"/>
          <w:sz w:val="20"/>
          <w:szCs w:val="20"/>
          <w:lang w:val="en-GB"/>
        </w:rPr>
        <w:t>Case 2-1-</w:t>
      </w:r>
      <w:r>
        <w:rPr>
          <w:rFonts w:hint="eastAsia" w:eastAsia="Times New Roman"/>
          <w:sz w:val="20"/>
          <w:szCs w:val="20"/>
        </w:rPr>
        <w:t xml:space="preserve">3, </w:t>
      </w:r>
      <w:r>
        <w:rPr>
          <w:rFonts w:hint="eastAsia" w:eastAsia="Times New Roman"/>
          <w:sz w:val="20"/>
          <w:szCs w:val="20"/>
          <w:lang w:val="en-GB"/>
        </w:rPr>
        <w:t>Case 2-1-</w:t>
      </w:r>
      <w:r>
        <w:rPr>
          <w:rFonts w:hint="eastAsia" w:eastAsia="Times New Roman"/>
          <w:sz w:val="20"/>
          <w:szCs w:val="20"/>
        </w:rPr>
        <w:t xml:space="preserve">4, and </w:t>
      </w:r>
      <w:r>
        <w:rPr>
          <w:rFonts w:hint="eastAsia" w:eastAsia="Times New Roman"/>
          <w:sz w:val="20"/>
          <w:szCs w:val="20"/>
          <w:lang w:val="en-GB"/>
        </w:rPr>
        <w:t>Case 2-1-</w:t>
      </w:r>
      <w:r>
        <w:rPr>
          <w:rFonts w:hint="eastAsia" w:eastAsia="Times New Roman"/>
          <w:sz w:val="20"/>
          <w:szCs w:val="20"/>
        </w:rPr>
        <w:t xml:space="preserve">5, only a little performance loss is observed if Top-4 or Top-2 beams of all </w:t>
      </w:r>
      <w:r>
        <w:rPr>
          <w:rFonts w:hint="eastAsia" w:eastAsia="Times New Roman"/>
          <w:sz w:val="20"/>
          <w:szCs w:val="20"/>
          <w:lang w:val="en-GB"/>
        </w:rPr>
        <w:t>measured beam</w:t>
      </w:r>
      <w:r>
        <w:rPr>
          <w:rFonts w:hint="eastAsia" w:eastAsia="Times New Roman"/>
          <w:sz w:val="20"/>
          <w:szCs w:val="20"/>
        </w:rPr>
        <w:t xml:space="preserve">s are </w:t>
      </w:r>
      <w:r>
        <w:rPr>
          <w:rFonts w:hint="eastAsia" w:eastAsia="Times New Roman"/>
          <w:sz w:val="20"/>
          <w:szCs w:val="20"/>
          <w:lang w:val="en-GB"/>
        </w:rPr>
        <w:t xml:space="preserve">used as </w:t>
      </w:r>
      <w:r>
        <w:rPr>
          <w:rFonts w:hint="eastAsia"/>
          <w:sz w:val="20"/>
          <w:szCs w:val="20"/>
          <w:lang w:val="en-GB" w:eastAsia="zh-CN"/>
        </w:rPr>
        <w:t xml:space="preserve">AI/ML model </w:t>
      </w:r>
      <w:r>
        <w:rPr>
          <w:rFonts w:hint="eastAsia" w:eastAsia="Times New Roman"/>
          <w:sz w:val="20"/>
          <w:szCs w:val="20"/>
          <w:lang w:val="en-GB"/>
        </w:rPr>
        <w:t>input</w:t>
      </w:r>
      <w:r>
        <w:rPr>
          <w:rFonts w:hint="eastAsia" w:eastAsia="Times New Roman"/>
          <w:sz w:val="20"/>
          <w:szCs w:val="20"/>
        </w:rPr>
        <w:t xml:space="preserve">s. Therefore, it can be concluded that </w:t>
      </w:r>
      <w:r>
        <w:rPr>
          <w:rFonts w:hint="eastAsia"/>
          <w:sz w:val="20"/>
          <w:szCs w:val="20"/>
        </w:rPr>
        <w:t xml:space="preserve">it is better to take partial beams from the beam set for measurement as the </w:t>
      </w:r>
      <w:r>
        <w:rPr>
          <w:rFonts w:hint="eastAsia"/>
          <w:sz w:val="20"/>
          <w:szCs w:val="20"/>
          <w:lang w:eastAsia="zh-CN"/>
        </w:rPr>
        <w:t xml:space="preserve">AI/ML model </w:t>
      </w:r>
      <w:r>
        <w:rPr>
          <w:rFonts w:hint="eastAsia"/>
          <w:sz w:val="20"/>
          <w:szCs w:val="20"/>
        </w:rPr>
        <w:t>input to reduce the beam reporting overhead for a NW-side model.</w:t>
      </w:r>
    </w:p>
    <w:p>
      <w:pPr>
        <w:pStyle w:val="117"/>
        <w:spacing w:before="72" w:after="72"/>
        <w:jc w:val="both"/>
        <w:rPr>
          <w:kern w:val="2"/>
          <w:sz w:val="20"/>
          <w:szCs w:val="20"/>
        </w:rPr>
      </w:pPr>
      <w:r>
        <w:rPr>
          <w:rFonts w:hint="eastAsia"/>
          <w:kern w:val="2"/>
          <w:sz w:val="20"/>
          <w:szCs w:val="20"/>
        </w:rPr>
        <w:t xml:space="preserve">In BM-Case2, compared with the case that Set B is fixed across training and inference,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pPr>
        <w:pStyle w:val="117"/>
        <w:spacing w:before="72" w:after="72"/>
        <w:jc w:val="both"/>
        <w:rPr>
          <w:kern w:val="2"/>
          <w:sz w:val="20"/>
          <w:szCs w:val="20"/>
        </w:rPr>
      </w:pPr>
      <w:r>
        <w:rPr>
          <w:rFonts w:hint="eastAsia"/>
          <w:kern w:val="2"/>
          <w:sz w:val="20"/>
          <w:szCs w:val="20"/>
        </w:rPr>
        <w:t xml:space="preserve">In BM-Case2, compared with the case that the Set B pattern is randomly selected from a total of 4 beam patterns in each past time instance, a slight performance gain is observed if Set B is </w:t>
      </w:r>
      <w:r>
        <w:rPr>
          <w:rFonts w:hint="eastAsia"/>
          <w:kern w:val="2"/>
          <w:sz w:val="20"/>
          <w:szCs w:val="20"/>
          <w:lang w:eastAsia="ko-KR"/>
        </w:rPr>
        <w:t>changed following a set of pre-configured patterns</w:t>
      </w:r>
      <w:r>
        <w:rPr>
          <w:rFonts w:hint="eastAsia"/>
          <w:kern w:val="2"/>
          <w:sz w:val="20"/>
          <w:szCs w:val="20"/>
        </w:rPr>
        <w:t xml:space="preserve">. </w:t>
      </w:r>
    </w:p>
    <w:p>
      <w:pPr>
        <w:pStyle w:val="117"/>
        <w:spacing w:before="72" w:after="72"/>
        <w:jc w:val="both"/>
        <w:rPr>
          <w:kern w:val="2"/>
          <w:sz w:val="20"/>
          <w:szCs w:val="20"/>
        </w:rPr>
      </w:pPr>
      <w:r>
        <w:rPr>
          <w:rFonts w:hint="eastAsia"/>
          <w:kern w:val="2"/>
          <w:sz w:val="20"/>
          <w:szCs w:val="20"/>
        </w:rPr>
        <w:t xml:space="preserve">In BM-Case2, if Top-4 or Top-2 beams of all measured beams are used as </w:t>
      </w:r>
      <w:r>
        <w:rPr>
          <w:rFonts w:hint="eastAsia"/>
          <w:kern w:val="2"/>
          <w:sz w:val="20"/>
          <w:szCs w:val="20"/>
          <w:lang w:eastAsia="zh-CN"/>
        </w:rPr>
        <w:t xml:space="preserve">AI/ML model </w:t>
      </w:r>
      <w:r>
        <w:rPr>
          <w:rFonts w:hint="eastAsia"/>
          <w:kern w:val="2"/>
          <w:sz w:val="20"/>
          <w:szCs w:val="20"/>
        </w:rPr>
        <w:t xml:space="preserve">inputs in each past time instance, only a little performance loss is observed compared with the case that all measured beams are used as </w:t>
      </w:r>
      <w:r>
        <w:rPr>
          <w:rFonts w:hint="eastAsia"/>
          <w:kern w:val="2"/>
          <w:sz w:val="20"/>
          <w:szCs w:val="20"/>
          <w:lang w:eastAsia="zh-CN"/>
        </w:rPr>
        <w:t xml:space="preserve">AI/ML model </w:t>
      </w:r>
      <w:r>
        <w:rPr>
          <w:rFonts w:hint="eastAsia"/>
          <w:kern w:val="2"/>
          <w:sz w:val="20"/>
          <w:szCs w:val="20"/>
        </w:rPr>
        <w:t xml:space="preserve">input. </w:t>
      </w:r>
    </w:p>
    <w:p>
      <w:pPr>
        <w:pStyle w:val="35"/>
        <w:spacing w:before="72" w:after="72"/>
        <w:jc w:val="both"/>
        <w:rPr>
          <w:kern w:val="2"/>
          <w:sz w:val="20"/>
          <w:szCs w:val="20"/>
        </w:rPr>
      </w:pPr>
      <w:r>
        <w:rPr>
          <w:rFonts w:hint="eastAsia"/>
          <w:kern w:val="2"/>
          <w:sz w:val="20"/>
          <w:szCs w:val="20"/>
        </w:rPr>
        <w:t xml:space="preserve">To reduce UE report overhead in BM-Case 2 for </w:t>
      </w:r>
      <w:r>
        <w:rPr>
          <w:rFonts w:hint="eastAsia"/>
          <w:kern w:val="2"/>
          <w:sz w:val="20"/>
          <w:szCs w:val="20"/>
          <w:lang w:val="en-US"/>
        </w:rPr>
        <w:t>a NW</w:t>
      </w:r>
      <w:r>
        <w:rPr>
          <w:rFonts w:hint="eastAsia"/>
          <w:kern w:val="2"/>
          <w:sz w:val="20"/>
          <w:szCs w:val="20"/>
        </w:rPr>
        <w:t xml:space="preserve">-side model, it is better to take partial beams from the beam set for measurement as </w:t>
      </w:r>
      <w:r>
        <w:rPr>
          <w:rFonts w:hint="eastAsia"/>
          <w:kern w:val="2"/>
          <w:sz w:val="20"/>
          <w:szCs w:val="20"/>
          <w:lang w:eastAsia="zh-CN"/>
        </w:rPr>
        <w:t xml:space="preserve">AI/ML model </w:t>
      </w:r>
      <w:r>
        <w:rPr>
          <w:rFonts w:hint="eastAsia"/>
          <w:kern w:val="2"/>
          <w:sz w:val="20"/>
          <w:szCs w:val="20"/>
        </w:rPr>
        <w:t xml:space="preserve">input. </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bookmarkStart w:id="13" w:name="OLE_LINK12"/>
      <w:r>
        <w:rPr>
          <w:rFonts w:hint="eastAsia" w:eastAsia="Arial Unicode MS"/>
          <w:b w:val="0"/>
          <w:bCs w:val="0"/>
          <w:kern w:val="2"/>
          <w:sz w:val="28"/>
          <w:szCs w:val="28"/>
          <w:lang w:val="en-US"/>
        </w:rPr>
        <w:t>Performance comparison of Tx-Rx beam pair prediction and Tx beam predictio</w:t>
      </w:r>
      <w:bookmarkEnd w:id="13"/>
      <w:r>
        <w:rPr>
          <w:rFonts w:hint="eastAsia" w:eastAsia="Arial Unicode MS"/>
          <w:b w:val="0"/>
          <w:bCs w:val="0"/>
          <w:kern w:val="2"/>
          <w:sz w:val="28"/>
          <w:szCs w:val="28"/>
          <w:lang w:val="en-US"/>
        </w:rPr>
        <w:t>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To compare the performance </w:t>
      </w:r>
      <w:bookmarkStart w:id="14" w:name="OLE_LINK5"/>
      <w:r>
        <w:rPr>
          <w:rFonts w:hint="eastAsia" w:eastAsia="Times New Roman"/>
          <w:sz w:val="20"/>
          <w:szCs w:val="20"/>
        </w:rPr>
        <w:t>of Tx-Rx beam pair prediction and Tx beam prediction</w:t>
      </w:r>
      <w:bookmarkEnd w:id="14"/>
      <w:r>
        <w:rPr>
          <w:rFonts w:hint="eastAsia" w:eastAsia="Times New Roman"/>
          <w:sz w:val="20"/>
          <w:szCs w:val="20"/>
        </w:rPr>
        <w:t xml:space="preserve"> based on the optimal or fixed Rx beam</w:t>
      </w:r>
      <w:r>
        <w:rPr>
          <w:rFonts w:hint="eastAsia"/>
          <w:sz w:val="20"/>
          <w:szCs w:val="20"/>
        </w:rPr>
        <w:t xml:space="preserve"> (i.e., Rx beam assumption 3 or 4)</w:t>
      </w:r>
      <w:r>
        <w:rPr>
          <w:rFonts w:hint="eastAsia" w:eastAsia="Times New Roman"/>
          <w:sz w:val="20"/>
          <w:szCs w:val="20"/>
        </w:rPr>
        <w:t xml:space="preserve">, four different cases of </w:t>
      </w:r>
      <w:r>
        <w:rPr>
          <w:rFonts w:hint="eastAsia"/>
          <w:sz w:val="20"/>
          <w:szCs w:val="20"/>
          <w:lang w:eastAsia="zh-CN"/>
        </w:rPr>
        <w:t xml:space="preserve">AI/ML model </w:t>
      </w:r>
      <w:r>
        <w:rPr>
          <w:rFonts w:hint="eastAsia" w:eastAsia="Times New Roman"/>
          <w:sz w:val="20"/>
          <w:szCs w:val="20"/>
        </w:rPr>
        <w:t>inputs for each past time instance and outputs for each future time instance are considered as follows.</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 xml:space="preserve">Case 2-2-1: </w:t>
      </w:r>
      <w:bookmarkStart w:id="15" w:name="OLE_LINK11"/>
      <w:r>
        <w:rPr>
          <w:rFonts w:hint="eastAsia" w:eastAsia="Times New Roman"/>
          <w:sz w:val="20"/>
          <w:szCs w:val="20"/>
          <w:lang w:val="en-GB"/>
        </w:rPr>
        <w:t>RSRPs of</w:t>
      </w:r>
      <w:r>
        <w:rPr>
          <w:rFonts w:hint="eastAsia" w:eastAsia="Times New Roman"/>
          <w:sz w:val="20"/>
          <w:szCs w:val="20"/>
        </w:rPr>
        <w:t xml:space="preserve"> all Tx beams of 5 past time instances are used as the </w:t>
      </w:r>
      <w:r>
        <w:rPr>
          <w:rFonts w:hint="eastAsia"/>
          <w:sz w:val="20"/>
          <w:szCs w:val="20"/>
          <w:lang w:eastAsia="zh-CN"/>
        </w:rPr>
        <w:t xml:space="preserve">AI/ML model </w:t>
      </w:r>
      <w:r>
        <w:rPr>
          <w:rFonts w:hint="eastAsia" w:eastAsia="Times New Roman"/>
          <w:sz w:val="20"/>
          <w:szCs w:val="20"/>
        </w:rPr>
        <w:t xml:space="preserve">input and RSRPs of </w:t>
      </w:r>
      <w:r>
        <w:rPr>
          <w:rFonts w:hint="eastAsia" w:eastAsia="Times New Roman"/>
          <w:b/>
          <w:bCs/>
          <w:sz w:val="20"/>
          <w:szCs w:val="20"/>
        </w:rPr>
        <w:t>all Tx beams</w:t>
      </w:r>
      <w:r>
        <w:rPr>
          <w:rFonts w:hint="eastAsia" w:eastAsia="Times New Roman"/>
          <w:sz w:val="20"/>
          <w:szCs w:val="20"/>
        </w:rPr>
        <w:t xml:space="preserve"> of 5 future time instances are used as the </w:t>
      </w:r>
      <w:r>
        <w:rPr>
          <w:rFonts w:hint="eastAsia"/>
          <w:sz w:val="20"/>
          <w:szCs w:val="20"/>
          <w:lang w:eastAsia="zh-CN"/>
        </w:rPr>
        <w:t xml:space="preserve">AI/ML model </w:t>
      </w:r>
      <w:r>
        <w:rPr>
          <w:rFonts w:hint="eastAsia" w:eastAsia="Times New Roman"/>
          <w:sz w:val="20"/>
          <w:szCs w:val="20"/>
        </w:rPr>
        <w:t>output</w:t>
      </w:r>
      <w:bookmarkEnd w:id="15"/>
      <w:r>
        <w:rPr>
          <w:rFonts w:hint="eastAsia" w:eastAsia="Times New Roman"/>
          <w:sz w:val="20"/>
          <w:szCs w:val="20"/>
        </w:rPr>
        <w:t xml:space="preserve">, where the </w:t>
      </w:r>
      <w:r>
        <w:rPr>
          <w:rFonts w:hint="eastAsia" w:eastAsia="Times New Roman"/>
          <w:b/>
          <w:bCs/>
          <w:sz w:val="20"/>
          <w:szCs w:val="20"/>
        </w:rPr>
        <w:t>optimal Rx beam</w:t>
      </w:r>
      <w:r>
        <w:rPr>
          <w:rFonts w:hint="eastAsia"/>
          <w:sz w:val="20"/>
          <w:szCs w:val="20"/>
        </w:rPr>
        <w:t xml:space="preserve"> (i.e., Rx beam assumption 3)</w:t>
      </w:r>
      <w:r>
        <w:rPr>
          <w:rFonts w:hint="eastAsia" w:eastAsia="Times New Roman"/>
          <w:sz w:val="20"/>
          <w:szCs w:val="20"/>
        </w:rPr>
        <w:t xml:space="preserve"> is assumed for measurement</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 xml:space="preserve">Case 2-2-2: </w:t>
      </w:r>
      <w:r>
        <w:rPr>
          <w:rFonts w:hint="eastAsia" w:eastAsia="Times New Roman"/>
          <w:sz w:val="20"/>
          <w:szCs w:val="20"/>
          <w:lang w:val="en-GB"/>
        </w:rPr>
        <w:t>RSRPs of</w:t>
      </w:r>
      <w:r>
        <w:rPr>
          <w:rFonts w:hint="eastAsia" w:eastAsia="Times New Roman"/>
          <w:sz w:val="20"/>
          <w:szCs w:val="20"/>
        </w:rPr>
        <w:t xml:space="preserve"> all Tx-Rx beam pairs of 5 past time instances are used as the </w:t>
      </w:r>
      <w:r>
        <w:rPr>
          <w:rFonts w:hint="eastAsia"/>
          <w:sz w:val="20"/>
          <w:szCs w:val="20"/>
          <w:lang w:eastAsia="zh-CN"/>
        </w:rPr>
        <w:t xml:space="preserve">AI/ML model </w:t>
      </w:r>
      <w:r>
        <w:rPr>
          <w:rFonts w:hint="eastAsia" w:eastAsia="Times New Roman"/>
          <w:sz w:val="20"/>
          <w:szCs w:val="20"/>
        </w:rPr>
        <w:t xml:space="preserve">input and RSRPs of </w:t>
      </w:r>
      <w:r>
        <w:rPr>
          <w:rFonts w:hint="eastAsia" w:eastAsia="Times New Roman"/>
          <w:b/>
          <w:bCs/>
          <w:sz w:val="20"/>
          <w:szCs w:val="20"/>
        </w:rPr>
        <w:t xml:space="preserve">all Tx-Rx beam pairs </w:t>
      </w:r>
      <w:r>
        <w:rPr>
          <w:rFonts w:hint="eastAsia" w:eastAsia="Times New Roman"/>
          <w:sz w:val="20"/>
          <w:szCs w:val="20"/>
        </w:rPr>
        <w:t xml:space="preserve">of 5 future time instances are used as the </w:t>
      </w:r>
      <w:r>
        <w:rPr>
          <w:rFonts w:hint="eastAsia"/>
          <w:sz w:val="20"/>
          <w:szCs w:val="20"/>
          <w:lang w:eastAsia="zh-CN"/>
        </w:rPr>
        <w:t xml:space="preserve">AI/ML model </w:t>
      </w:r>
      <w:r>
        <w:rPr>
          <w:rFonts w:hint="eastAsia" w:eastAsia="Times New Roman"/>
          <w:sz w:val="20"/>
          <w:szCs w:val="20"/>
        </w:rPr>
        <w:t xml:space="preserve">output, where the </w:t>
      </w:r>
      <w:r>
        <w:rPr>
          <w:rFonts w:hint="eastAsia" w:eastAsia="Times New Roman"/>
          <w:b/>
          <w:bCs/>
          <w:sz w:val="20"/>
          <w:szCs w:val="20"/>
        </w:rPr>
        <w:t>optimal Rx beam</w:t>
      </w:r>
      <w:r>
        <w:rPr>
          <w:rFonts w:hint="eastAsia"/>
          <w:sz w:val="20"/>
          <w:szCs w:val="20"/>
        </w:rPr>
        <w:t xml:space="preserve"> (i.e., Rx beam assumption 3)</w:t>
      </w:r>
      <w:r>
        <w:rPr>
          <w:rFonts w:hint="eastAsia" w:eastAsia="Times New Roman"/>
          <w:sz w:val="20"/>
          <w:szCs w:val="20"/>
        </w:rPr>
        <w:t xml:space="preserve"> is assumed for measurement</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Case 2-2-3:</w:t>
      </w:r>
      <w:r>
        <w:rPr>
          <w:rFonts w:hint="eastAsia" w:eastAsia="Times New Roman"/>
          <w:sz w:val="20"/>
          <w:szCs w:val="20"/>
        </w:rPr>
        <w:t xml:space="preserve"> </w:t>
      </w:r>
      <w:r>
        <w:rPr>
          <w:rFonts w:hint="eastAsia" w:eastAsia="Times New Roman"/>
          <w:sz w:val="20"/>
          <w:szCs w:val="20"/>
          <w:lang w:val="en-GB"/>
        </w:rPr>
        <w:t>RSRPs of</w:t>
      </w:r>
      <w:r>
        <w:rPr>
          <w:rFonts w:hint="eastAsia" w:eastAsia="Times New Roman"/>
          <w:sz w:val="20"/>
          <w:szCs w:val="20"/>
        </w:rPr>
        <w:t xml:space="preserve"> all Tx beams of 5 past time instances are used as the </w:t>
      </w:r>
      <w:r>
        <w:rPr>
          <w:rFonts w:hint="eastAsia"/>
          <w:sz w:val="20"/>
          <w:szCs w:val="20"/>
          <w:lang w:eastAsia="zh-CN"/>
        </w:rPr>
        <w:t xml:space="preserve">AI/ML model </w:t>
      </w:r>
      <w:r>
        <w:rPr>
          <w:rFonts w:hint="eastAsia" w:eastAsia="Times New Roman"/>
          <w:sz w:val="20"/>
          <w:szCs w:val="20"/>
        </w:rPr>
        <w:t xml:space="preserve">input and RSRPs of </w:t>
      </w:r>
      <w:r>
        <w:rPr>
          <w:rFonts w:hint="eastAsia" w:eastAsia="Times New Roman"/>
          <w:b/>
          <w:bCs/>
          <w:sz w:val="20"/>
          <w:szCs w:val="20"/>
        </w:rPr>
        <w:t xml:space="preserve">all Tx beams </w:t>
      </w:r>
      <w:r>
        <w:rPr>
          <w:rFonts w:hint="eastAsia" w:eastAsia="Times New Roman"/>
          <w:sz w:val="20"/>
          <w:szCs w:val="20"/>
        </w:rPr>
        <w:t xml:space="preserve">of 5 future time instances are used as the </w:t>
      </w:r>
      <w:r>
        <w:rPr>
          <w:rFonts w:hint="eastAsia"/>
          <w:sz w:val="20"/>
          <w:szCs w:val="20"/>
          <w:lang w:eastAsia="zh-CN"/>
        </w:rPr>
        <w:t xml:space="preserve">AI/ML model </w:t>
      </w:r>
      <w:r>
        <w:rPr>
          <w:rFonts w:hint="eastAsia" w:eastAsia="Times New Roman"/>
          <w:sz w:val="20"/>
          <w:szCs w:val="20"/>
        </w:rPr>
        <w:t xml:space="preserve">output, where the </w:t>
      </w:r>
      <w:r>
        <w:rPr>
          <w:rFonts w:hint="eastAsia" w:eastAsia="Times New Roman"/>
          <w:b/>
          <w:bCs/>
          <w:sz w:val="20"/>
          <w:szCs w:val="20"/>
        </w:rPr>
        <w:t>specific (i.e., first) Rx beam</w:t>
      </w:r>
      <w:r>
        <w:rPr>
          <w:rFonts w:hint="eastAsia"/>
          <w:sz w:val="20"/>
          <w:szCs w:val="20"/>
        </w:rPr>
        <w:t xml:space="preserve"> (i.e., Rx beam assumption 4)</w:t>
      </w:r>
      <w:r>
        <w:rPr>
          <w:rFonts w:hint="eastAsia" w:eastAsia="Times New Roman"/>
          <w:sz w:val="20"/>
          <w:szCs w:val="20"/>
        </w:rPr>
        <w:t xml:space="preserve"> is assumed for measurement</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 xml:space="preserve">Case 2-2-4: </w:t>
      </w:r>
      <w:r>
        <w:rPr>
          <w:rFonts w:hint="eastAsia" w:eastAsia="Times New Roman"/>
          <w:sz w:val="20"/>
          <w:szCs w:val="20"/>
          <w:lang w:val="en-GB"/>
        </w:rPr>
        <w:t>RSRPs of</w:t>
      </w:r>
      <w:r>
        <w:rPr>
          <w:rFonts w:hint="eastAsia" w:eastAsia="Times New Roman"/>
          <w:sz w:val="20"/>
          <w:szCs w:val="20"/>
        </w:rPr>
        <w:t xml:space="preserve"> all Tx-Rx beam pairs of 5 past time instances are used as </w:t>
      </w:r>
      <w:r>
        <w:rPr>
          <w:rFonts w:hint="eastAsia"/>
          <w:sz w:val="20"/>
          <w:szCs w:val="20"/>
          <w:lang w:eastAsia="zh-CN"/>
        </w:rPr>
        <w:t xml:space="preserve">AI/ML model </w:t>
      </w:r>
      <w:r>
        <w:rPr>
          <w:rFonts w:hint="eastAsia" w:eastAsia="Times New Roman"/>
          <w:sz w:val="20"/>
          <w:szCs w:val="20"/>
        </w:rPr>
        <w:t xml:space="preserve">input and RSRPs of </w:t>
      </w:r>
      <w:r>
        <w:rPr>
          <w:rFonts w:hint="eastAsia" w:eastAsia="Times New Roman"/>
          <w:b/>
          <w:bCs/>
          <w:sz w:val="20"/>
          <w:szCs w:val="20"/>
        </w:rPr>
        <w:t>all Tx-Rx beam pairs</w:t>
      </w:r>
      <w:r>
        <w:rPr>
          <w:rFonts w:hint="eastAsia" w:eastAsia="Times New Roman"/>
          <w:sz w:val="20"/>
          <w:szCs w:val="20"/>
        </w:rPr>
        <w:t xml:space="preserve"> of 5 future time instances are used as </w:t>
      </w:r>
      <w:r>
        <w:rPr>
          <w:rFonts w:hint="eastAsia"/>
          <w:sz w:val="20"/>
          <w:szCs w:val="20"/>
          <w:lang w:eastAsia="zh-CN"/>
        </w:rPr>
        <w:t xml:space="preserve">AI/ML model </w:t>
      </w:r>
      <w:r>
        <w:rPr>
          <w:rFonts w:hint="eastAsia" w:eastAsia="Times New Roman"/>
          <w:sz w:val="20"/>
          <w:szCs w:val="20"/>
        </w:rPr>
        <w:t xml:space="preserve">output, where the </w:t>
      </w:r>
      <w:r>
        <w:rPr>
          <w:rFonts w:hint="eastAsia" w:eastAsia="Times New Roman"/>
          <w:b/>
          <w:bCs/>
          <w:sz w:val="20"/>
          <w:szCs w:val="20"/>
        </w:rPr>
        <w:t>specific (i.e., first) Rx beam</w:t>
      </w:r>
      <w:r>
        <w:rPr>
          <w:rFonts w:hint="eastAsia"/>
          <w:sz w:val="20"/>
          <w:szCs w:val="20"/>
        </w:rPr>
        <w:t xml:space="preserve"> (i.e., Rx beam assumption 4) </w:t>
      </w:r>
      <w:r>
        <w:rPr>
          <w:rFonts w:hint="eastAsia" w:eastAsia="Times New Roman"/>
          <w:sz w:val="20"/>
          <w:szCs w:val="20"/>
        </w:rPr>
        <w:t>is assumed for measurement</w:t>
      </w:r>
    </w:p>
    <w:p>
      <w:pPr>
        <w:snapToGrid w:val="0"/>
        <w:spacing w:before="72" w:beforeLines="30" w:after="72" w:afterLines="30" w:line="288" w:lineRule="auto"/>
        <w:jc w:val="both"/>
        <w:rPr>
          <w:rFonts w:eastAsia="Times New Roman"/>
          <w:sz w:val="20"/>
          <w:szCs w:val="20"/>
        </w:rPr>
      </w:pPr>
      <w:r>
        <w:rPr>
          <w:rFonts w:hint="eastAsia"/>
          <w:sz w:val="20"/>
          <w:szCs w:val="20"/>
        </w:rPr>
        <w:t xml:space="preserve">For the KPI calculation, the Top-1 genie-aided Tx beam is the Tx beam that results in the largest L1-RSRP over all Tx beams with specific Rx beam(s) (i.e., Option B). Detailed simulation results of the first two cases above are provided in the result collection excel [4]. Some of the </w:t>
      </w:r>
      <w:r>
        <w:rPr>
          <w:rFonts w:hint="eastAsia" w:eastAsia="Times New Roman"/>
          <w:sz w:val="20"/>
          <w:szCs w:val="20"/>
        </w:rPr>
        <w:t xml:space="preserve">simulation results are </w:t>
      </w:r>
      <w:r>
        <w:rPr>
          <w:rFonts w:hint="eastAsia"/>
          <w:sz w:val="20"/>
          <w:szCs w:val="20"/>
        </w:rPr>
        <w:t xml:space="preserve">also </w:t>
      </w:r>
      <w:r>
        <w:rPr>
          <w:rFonts w:hint="eastAsia" w:eastAsia="Times New Roman"/>
          <w:sz w:val="20"/>
          <w:szCs w:val="20"/>
        </w:rPr>
        <w:t xml:space="preserve">provided in Table </w:t>
      </w:r>
      <w:r>
        <w:rPr>
          <w:rFonts w:hint="eastAsia"/>
          <w:sz w:val="20"/>
          <w:szCs w:val="20"/>
        </w:rPr>
        <w:t>XV for reference</w:t>
      </w:r>
      <w:r>
        <w:rPr>
          <w:rFonts w:hint="eastAsia" w:eastAsia="Times New Roman"/>
          <w:sz w:val="20"/>
          <w:szCs w:val="20"/>
        </w:rPr>
        <w:t xml:space="preserve">. As observed, the Tx </w:t>
      </w:r>
      <w:r>
        <w:rPr>
          <w:rFonts w:hint="eastAsia" w:eastAsia="Times New Roman"/>
          <w:sz w:val="20"/>
          <w:szCs w:val="20"/>
          <w:lang w:val="en-GB"/>
        </w:rPr>
        <w:t>beam</w:t>
      </w:r>
      <w:r>
        <w:rPr>
          <w:rFonts w:hint="eastAsia"/>
          <w:sz w:val="20"/>
          <w:szCs w:val="20"/>
        </w:rPr>
        <w:t xml:space="preserve"> </w:t>
      </w:r>
      <w:r>
        <w:rPr>
          <w:rFonts w:hint="eastAsia" w:eastAsia="Times New Roman"/>
          <w:sz w:val="20"/>
          <w:szCs w:val="20"/>
          <w:lang w:val="en-GB"/>
        </w:rPr>
        <w:t xml:space="preserve">prediction obtains a better performance than that of the </w:t>
      </w:r>
      <w:r>
        <w:rPr>
          <w:rFonts w:hint="eastAsia" w:eastAsia="Times New Roman"/>
          <w:sz w:val="20"/>
          <w:szCs w:val="20"/>
        </w:rPr>
        <w:t xml:space="preserve">Tx-Rx beam pair prediction under the optimal Rx beam or the fixed Rx beam. In addition, compared with the case of the fixed Rx beam, </w:t>
      </w:r>
      <w:r>
        <w:rPr>
          <w:rFonts w:eastAsia="Times New Roman"/>
          <w:sz w:val="20"/>
          <w:szCs w:val="20"/>
        </w:rPr>
        <w:t xml:space="preserve">a </w:t>
      </w:r>
      <w:r>
        <w:rPr>
          <w:rFonts w:hint="eastAsia" w:eastAsia="Times New Roman"/>
          <w:sz w:val="20"/>
          <w:szCs w:val="20"/>
        </w:rPr>
        <w:t>slight</w:t>
      </w:r>
      <w:r>
        <w:rPr>
          <w:rFonts w:eastAsia="Times New Roman"/>
          <w:sz w:val="20"/>
          <w:szCs w:val="20"/>
        </w:rPr>
        <w:t xml:space="preserve"> performance gain is observed if </w:t>
      </w:r>
      <w:r>
        <w:rPr>
          <w:rFonts w:hint="eastAsia" w:eastAsia="Times New Roman"/>
          <w:sz w:val="20"/>
          <w:szCs w:val="20"/>
        </w:rPr>
        <w:t xml:space="preserve">the Tx beam prediction or Tx-Rx beam pair prediction is performed under the optimal Rx beam. </w:t>
      </w:r>
    </w:p>
    <w:p>
      <w:pPr>
        <w:snapToGrid w:val="0"/>
        <w:spacing w:before="72" w:beforeLines="30" w:after="72" w:afterLines="30" w:line="288" w:lineRule="auto"/>
        <w:jc w:val="center"/>
        <w:rPr>
          <w:rFonts w:eastAsia="Times New Roman"/>
          <w:sz w:val="20"/>
          <w:szCs w:val="20"/>
        </w:rPr>
      </w:pPr>
      <w:r>
        <w:rPr>
          <w:rFonts w:hint="eastAsia" w:eastAsia="Times New Roman"/>
          <w:sz w:val="20"/>
          <w:szCs w:val="20"/>
        </w:rPr>
        <w:t xml:space="preserve">Table </w:t>
      </w:r>
      <w:r>
        <w:rPr>
          <w:rFonts w:hint="eastAsia" w:eastAsia="Times New Roman"/>
          <w:sz w:val="20"/>
          <w:szCs w:val="20"/>
        </w:rPr>
        <w:fldChar w:fldCharType="begin"/>
      </w:r>
      <w:r>
        <w:rPr>
          <w:rFonts w:hint="eastAsia" w:eastAsia="Times New Roman"/>
          <w:sz w:val="20"/>
          <w:szCs w:val="20"/>
        </w:rPr>
        <w:instrText xml:space="preserve"> = 15 \* ROMAN \* MERGEFORMAT </w:instrText>
      </w:r>
      <w:r>
        <w:rPr>
          <w:rFonts w:hint="eastAsia" w:eastAsia="Times New Roman"/>
          <w:sz w:val="20"/>
          <w:szCs w:val="20"/>
        </w:rPr>
        <w:fldChar w:fldCharType="separate"/>
      </w:r>
      <w:r>
        <w:rPr>
          <w:rFonts w:hint="eastAsia" w:eastAsia="Times New Roman"/>
          <w:sz w:val="20"/>
          <w:szCs w:val="20"/>
        </w:rPr>
        <w:t>XV</w:t>
      </w:r>
      <w:r>
        <w:rPr>
          <w:rFonts w:hint="eastAsia" w:eastAsia="Times New Roman"/>
          <w:sz w:val="20"/>
          <w:szCs w:val="20"/>
        </w:rPr>
        <w:fldChar w:fldCharType="end"/>
      </w:r>
      <w:r>
        <w:rPr>
          <w:rFonts w:hint="eastAsia" w:eastAsia="Times New Roman"/>
          <w:sz w:val="20"/>
          <w:szCs w:val="20"/>
        </w:rPr>
        <w:t>.  Performance comparison of Tx-Rx beam pair prediction and Tx beam prediction</w:t>
      </w:r>
      <w:r>
        <w:rPr>
          <w:rFonts w:eastAsia="Times New Roman"/>
          <w:sz w:val="20"/>
          <w:szCs w:val="20"/>
        </w:rPr>
        <w:t xml:space="preserve"> </w:t>
      </w:r>
      <w:r>
        <w:rPr>
          <w:rFonts w:hint="eastAsia" w:eastAsia="Times New Roman"/>
          <w:sz w:val="20"/>
          <w:szCs w:val="20"/>
        </w:rPr>
        <w:t>(UE speed: 30km/h)</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839"/>
        <w:gridCol w:w="750"/>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restart"/>
            <w:vAlign w:val="center"/>
          </w:tcPr>
          <w:p>
            <w:pPr>
              <w:keepNext/>
              <w:snapToGrid w:val="0"/>
              <w:spacing w:before="72" w:beforeLines="30" w:after="72" w:afterLines="30" w:line="288" w:lineRule="auto"/>
              <w:jc w:val="center"/>
              <w:rPr>
                <w:bCs/>
                <w:sz w:val="20"/>
                <w:szCs w:val="20"/>
              </w:rPr>
            </w:pPr>
            <w:r>
              <w:rPr>
                <w:bCs/>
                <w:sz w:val="20"/>
                <w:szCs w:val="20"/>
              </w:rPr>
              <w:t>Cases</w:t>
            </w:r>
          </w:p>
        </w:tc>
        <w:tc>
          <w:tcPr>
            <w:tcW w:w="0" w:type="auto"/>
            <w:vMerge w:val="restart"/>
            <w:vAlign w:val="center"/>
          </w:tcPr>
          <w:p>
            <w:pPr>
              <w:keepNext/>
              <w:snapToGrid w:val="0"/>
              <w:spacing w:before="72" w:beforeLines="30" w:after="72" w:afterLines="30" w:line="288" w:lineRule="auto"/>
              <w:jc w:val="center"/>
              <w:rPr>
                <w:bCs/>
                <w:sz w:val="20"/>
                <w:szCs w:val="20"/>
              </w:rPr>
            </w:pPr>
            <w:r>
              <w:rPr>
                <w:bCs/>
                <w:sz w:val="20"/>
                <w:szCs w:val="20"/>
              </w:rPr>
              <w:t>Top-K</w:t>
            </w:r>
          </w:p>
        </w:tc>
        <w:tc>
          <w:tcPr>
            <w:tcW w:w="0" w:type="auto"/>
            <w:gridSpan w:val="5"/>
            <w:vAlign w:val="center"/>
          </w:tcPr>
          <w:p>
            <w:pPr>
              <w:keepNext/>
              <w:snapToGrid w:val="0"/>
              <w:spacing w:before="72" w:beforeLines="30" w:after="72" w:afterLines="30" w:line="288" w:lineRule="auto"/>
              <w:jc w:val="center"/>
              <w:rPr>
                <w:bCs/>
                <w:sz w:val="20"/>
                <w:szCs w:val="20"/>
              </w:rPr>
            </w:pPr>
            <w:r>
              <w:rPr>
                <w:bCs/>
                <w:sz w:val="20"/>
                <w:szCs w:val="20"/>
              </w:rPr>
              <w:t>Top-K 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 w:hRule="atLeast"/>
          <w:jc w:val="center"/>
        </w:trPr>
        <w:tc>
          <w:tcPr>
            <w:tcW w:w="0" w:type="auto"/>
            <w:gridSpan w:val="2"/>
            <w:vMerge w:val="continue"/>
            <w:vAlign w:val="center"/>
          </w:tcPr>
          <w:p>
            <w:pPr>
              <w:keepNext/>
              <w:snapToGrid w:val="0"/>
              <w:spacing w:before="72" w:beforeLines="30" w:after="72" w:afterLines="30" w:line="288" w:lineRule="auto"/>
              <w:jc w:val="center"/>
              <w:rPr>
                <w:bCs/>
                <w:sz w:val="20"/>
                <w:szCs w:val="20"/>
              </w:rPr>
            </w:pPr>
          </w:p>
        </w:tc>
        <w:tc>
          <w:tcPr>
            <w:tcW w:w="0" w:type="auto"/>
            <w:vMerge w:val="continue"/>
            <w:vAlign w:val="center"/>
          </w:tcPr>
          <w:p>
            <w:pPr>
              <w:keepNext/>
              <w:snapToGrid w:val="0"/>
              <w:spacing w:before="72" w:beforeLines="30" w:after="72" w:afterLines="30" w:line="288" w:lineRule="auto"/>
              <w:jc w:val="center"/>
              <w:rPr>
                <w:bCs/>
                <w:sz w:val="20"/>
                <w:szCs w:val="20"/>
                <w:lang w:eastAsia="en-GB"/>
              </w:rPr>
            </w:pPr>
          </w:p>
        </w:tc>
        <w:tc>
          <w:tcPr>
            <w:tcW w:w="666" w:type="dxa"/>
            <w:vAlign w:val="center"/>
          </w:tcPr>
          <w:p>
            <w:pPr>
              <w:keepNext/>
              <w:snapToGrid w:val="0"/>
              <w:spacing w:before="72" w:beforeLines="30" w:after="72" w:afterLines="30" w:line="288" w:lineRule="auto"/>
              <w:jc w:val="center"/>
              <w:rPr>
                <w:bCs/>
                <w:i/>
                <w:iCs/>
                <w:sz w:val="20"/>
                <w:szCs w:val="20"/>
              </w:rPr>
            </w:pPr>
            <w:r>
              <w:rPr>
                <w:bCs/>
                <w:sz w:val="20"/>
                <w:szCs w:val="20"/>
                <w:lang w:eastAsia="en-GB"/>
              </w:rPr>
              <w:t>T+1</w:t>
            </w:r>
          </w:p>
        </w:tc>
        <w:tc>
          <w:tcPr>
            <w:tcW w:w="666" w:type="dxa"/>
            <w:vAlign w:val="center"/>
          </w:tcPr>
          <w:p>
            <w:pPr>
              <w:keepNext/>
              <w:snapToGrid w:val="0"/>
              <w:spacing w:before="72" w:beforeLines="30" w:after="72" w:afterLines="30" w:line="288" w:lineRule="auto"/>
              <w:jc w:val="center"/>
              <w:rPr>
                <w:bCs/>
                <w:i/>
                <w:iCs/>
                <w:sz w:val="20"/>
                <w:szCs w:val="20"/>
              </w:rPr>
            </w:pPr>
            <w:r>
              <w:rPr>
                <w:bCs/>
                <w:sz w:val="20"/>
                <w:szCs w:val="20"/>
                <w:lang w:eastAsia="en-GB"/>
              </w:rPr>
              <w:t>T+2</w:t>
            </w:r>
          </w:p>
        </w:tc>
        <w:tc>
          <w:tcPr>
            <w:tcW w:w="0" w:type="auto"/>
            <w:vAlign w:val="center"/>
          </w:tcPr>
          <w:p>
            <w:pPr>
              <w:keepNext/>
              <w:snapToGrid w:val="0"/>
              <w:spacing w:before="72" w:beforeLines="30" w:after="72" w:afterLines="30" w:line="288" w:lineRule="auto"/>
              <w:jc w:val="center"/>
              <w:rPr>
                <w:bCs/>
                <w:i/>
                <w:iCs/>
                <w:sz w:val="20"/>
                <w:szCs w:val="20"/>
              </w:rPr>
            </w:pPr>
            <w:r>
              <w:rPr>
                <w:bCs/>
                <w:sz w:val="20"/>
                <w:szCs w:val="20"/>
                <w:lang w:eastAsia="en-GB"/>
              </w:rPr>
              <w:t>T+3</w:t>
            </w:r>
          </w:p>
        </w:tc>
        <w:tc>
          <w:tcPr>
            <w:tcW w:w="0" w:type="auto"/>
            <w:vAlign w:val="center"/>
          </w:tcPr>
          <w:p>
            <w:pPr>
              <w:keepNext/>
              <w:snapToGrid w:val="0"/>
              <w:spacing w:before="72" w:beforeLines="30" w:after="72" w:afterLines="30" w:line="288" w:lineRule="auto"/>
              <w:jc w:val="center"/>
              <w:rPr>
                <w:bCs/>
                <w:i/>
                <w:iCs/>
                <w:sz w:val="20"/>
                <w:szCs w:val="20"/>
              </w:rPr>
            </w:pPr>
            <w:r>
              <w:rPr>
                <w:bCs/>
                <w:sz w:val="20"/>
                <w:szCs w:val="20"/>
                <w:lang w:eastAsia="en-GB"/>
              </w:rPr>
              <w:t>T+4</w:t>
            </w:r>
          </w:p>
        </w:tc>
        <w:tc>
          <w:tcPr>
            <w:tcW w:w="0" w:type="auto"/>
            <w:vAlign w:val="center"/>
          </w:tcPr>
          <w:p>
            <w:pPr>
              <w:keepNext/>
              <w:snapToGrid w:val="0"/>
              <w:spacing w:before="72" w:beforeLines="30" w:after="72" w:afterLines="30" w:line="288" w:lineRule="auto"/>
              <w:jc w:val="center"/>
              <w:rPr>
                <w:bCs/>
                <w:sz w:val="20"/>
                <w:szCs w:val="20"/>
                <w:lang w:eastAsia="en-GB"/>
              </w:rPr>
            </w:pPr>
            <w:r>
              <w:rPr>
                <w:bCs/>
                <w:sz w:val="20"/>
                <w:szCs w:val="20"/>
                <w:lang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snapToGrid w:val="0"/>
              <w:spacing w:before="72" w:beforeLines="30" w:after="72" w:afterLines="30" w:line="288" w:lineRule="auto"/>
              <w:jc w:val="center"/>
              <w:rPr>
                <w:bCs/>
                <w:sz w:val="20"/>
                <w:szCs w:val="20"/>
              </w:rPr>
            </w:pPr>
            <w:r>
              <w:rPr>
                <w:bCs/>
                <w:sz w:val="20"/>
                <w:szCs w:val="20"/>
              </w:rPr>
              <w:t>Case 2-2-1</w:t>
            </w:r>
          </w:p>
        </w:tc>
        <w:tc>
          <w:tcPr>
            <w:tcW w:w="839" w:type="dxa"/>
            <w:vAlign w:val="center"/>
          </w:tcPr>
          <w:p>
            <w:pPr>
              <w:keepNext/>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keepNext/>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97.06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95.48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94.05</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92.19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color w:val="000000"/>
                <w:sz w:val="20"/>
                <w:szCs w:val="20"/>
              </w:rPr>
              <w:t>90.37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snapToGrid w:val="0"/>
              <w:spacing w:before="72" w:beforeLines="30" w:after="72" w:afterLines="30" w:line="288" w:lineRule="auto"/>
              <w:jc w:val="center"/>
              <w:rPr>
                <w:bCs/>
                <w:sz w:val="20"/>
                <w:szCs w:val="20"/>
              </w:rPr>
            </w:pPr>
          </w:p>
        </w:tc>
        <w:tc>
          <w:tcPr>
            <w:tcW w:w="839" w:type="dxa"/>
            <w:vAlign w:val="center"/>
          </w:tcPr>
          <w:p>
            <w:pPr>
              <w:keepNext/>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keepNext/>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99.17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98.99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98.85</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98.50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color w:val="000000"/>
                <w:sz w:val="20"/>
                <w:szCs w:val="20"/>
              </w:rPr>
            </w:pPr>
            <w:r>
              <w:rPr>
                <w:rFonts w:ascii="Times New Roman" w:hAnsi="Times New Roman" w:cs="Times New Roman"/>
                <w:sz w:val="20"/>
                <w:szCs w:val="20"/>
              </w:rPr>
              <w:t>98.25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restart"/>
            <w:vAlign w:val="center"/>
          </w:tcPr>
          <w:p>
            <w:pPr>
              <w:keepNext/>
              <w:snapToGrid w:val="0"/>
              <w:spacing w:before="72" w:beforeLines="30" w:after="72" w:afterLines="30" w:line="288" w:lineRule="auto"/>
              <w:jc w:val="center"/>
              <w:rPr>
                <w:bCs/>
                <w:sz w:val="20"/>
                <w:szCs w:val="20"/>
              </w:rPr>
            </w:pPr>
            <w:r>
              <w:rPr>
                <w:bCs/>
                <w:sz w:val="20"/>
                <w:szCs w:val="20"/>
              </w:rPr>
              <w:t>Case 2-2-2</w:t>
            </w:r>
          </w:p>
        </w:tc>
        <w:tc>
          <w:tcPr>
            <w:tcW w:w="839" w:type="dxa"/>
            <w:vAlign w:val="center"/>
          </w:tcPr>
          <w:p>
            <w:pPr>
              <w:keepNext/>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keepNext/>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90.35</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86.07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83.22</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80.67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77.77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snapToGrid w:val="0"/>
              <w:spacing w:before="72" w:beforeLines="30" w:after="72" w:afterLines="30" w:line="288" w:lineRule="auto"/>
              <w:jc w:val="center"/>
              <w:rPr>
                <w:bCs/>
                <w:sz w:val="20"/>
                <w:szCs w:val="20"/>
              </w:rPr>
            </w:pPr>
          </w:p>
        </w:tc>
        <w:tc>
          <w:tcPr>
            <w:tcW w:w="839" w:type="dxa"/>
            <w:vAlign w:val="center"/>
          </w:tcPr>
          <w:p>
            <w:pPr>
              <w:keepNext/>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keepNext/>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96.70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96.74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96.50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96.26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88" w:type="dxa"/>
            <w:vMerge w:val="restart"/>
            <w:vAlign w:val="center"/>
          </w:tcPr>
          <w:p>
            <w:pPr>
              <w:keepNext/>
              <w:snapToGrid w:val="0"/>
              <w:spacing w:before="72" w:beforeLines="30" w:after="72" w:afterLines="30" w:line="288" w:lineRule="auto"/>
              <w:jc w:val="center"/>
              <w:rPr>
                <w:bCs/>
                <w:sz w:val="20"/>
                <w:szCs w:val="20"/>
              </w:rPr>
            </w:pPr>
            <w:r>
              <w:rPr>
                <w:bCs/>
                <w:sz w:val="20"/>
                <w:szCs w:val="20"/>
              </w:rPr>
              <w:t>Case 2-2-3</w:t>
            </w:r>
          </w:p>
        </w:tc>
        <w:tc>
          <w:tcPr>
            <w:tcW w:w="839" w:type="dxa"/>
            <w:vAlign w:val="center"/>
          </w:tcPr>
          <w:p>
            <w:pPr>
              <w:keepNext/>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keepNext/>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96.61</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94.98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93.13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91.29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snapToGrid w:val="0"/>
              <w:spacing w:before="72" w:beforeLines="30" w:after="72" w:afterLines="30" w:line="288" w:lineRule="auto"/>
              <w:jc w:val="center"/>
              <w:rPr>
                <w:bCs/>
                <w:sz w:val="20"/>
                <w:szCs w:val="20"/>
              </w:rPr>
            </w:pPr>
          </w:p>
        </w:tc>
        <w:tc>
          <w:tcPr>
            <w:tcW w:w="839" w:type="dxa"/>
            <w:vAlign w:val="center"/>
          </w:tcPr>
          <w:p>
            <w:pPr>
              <w:keepNext/>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keepNext/>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98.62</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98.32</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98.13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98.09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88" w:type="dxa"/>
            <w:vMerge w:val="restart"/>
            <w:vAlign w:val="center"/>
          </w:tcPr>
          <w:p>
            <w:pPr>
              <w:keepNext/>
              <w:snapToGrid w:val="0"/>
              <w:spacing w:before="72" w:beforeLines="30" w:after="72" w:afterLines="30" w:line="288" w:lineRule="auto"/>
              <w:jc w:val="center"/>
              <w:rPr>
                <w:bCs/>
                <w:sz w:val="20"/>
                <w:szCs w:val="20"/>
              </w:rPr>
            </w:pPr>
            <w:r>
              <w:rPr>
                <w:bCs/>
                <w:sz w:val="20"/>
                <w:szCs w:val="20"/>
              </w:rPr>
              <w:t>Case 2-2-4</w:t>
            </w:r>
          </w:p>
        </w:tc>
        <w:tc>
          <w:tcPr>
            <w:tcW w:w="839" w:type="dxa"/>
            <w:vAlign w:val="center"/>
          </w:tcPr>
          <w:p>
            <w:pPr>
              <w:keepNext/>
              <w:snapToGrid w:val="0"/>
              <w:spacing w:before="72" w:beforeLines="30" w:after="72" w:afterLines="30" w:line="288" w:lineRule="auto"/>
              <w:jc w:val="center"/>
              <w:rPr>
                <w:bCs/>
                <w:sz w:val="20"/>
                <w:szCs w:val="20"/>
              </w:rPr>
            </w:pPr>
            <w:r>
              <w:rPr>
                <w:bCs/>
                <w:sz w:val="20"/>
                <w:szCs w:val="20"/>
              </w:rPr>
              <w:t>Non-AI</w:t>
            </w:r>
          </w:p>
        </w:tc>
        <w:tc>
          <w:tcPr>
            <w:tcW w:w="750" w:type="dxa"/>
            <w:vAlign w:val="center"/>
          </w:tcPr>
          <w:p>
            <w:pPr>
              <w:keepNext/>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21.42</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21.05</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20.54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20.13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19.85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0" w:type="auto"/>
            <w:vMerge w:val="continue"/>
            <w:vAlign w:val="center"/>
          </w:tcPr>
          <w:p>
            <w:pPr>
              <w:keepNext/>
              <w:snapToGrid w:val="0"/>
              <w:spacing w:before="72" w:beforeLines="30" w:after="72" w:afterLines="30" w:line="288" w:lineRule="auto"/>
              <w:jc w:val="center"/>
              <w:rPr>
                <w:bCs/>
                <w:sz w:val="20"/>
                <w:szCs w:val="20"/>
              </w:rPr>
            </w:pPr>
          </w:p>
        </w:tc>
        <w:tc>
          <w:tcPr>
            <w:tcW w:w="839" w:type="dxa"/>
            <w:vAlign w:val="center"/>
          </w:tcPr>
          <w:p>
            <w:pPr>
              <w:keepNext/>
              <w:snapToGrid w:val="0"/>
              <w:spacing w:before="72" w:beforeLines="30" w:after="72" w:afterLines="30" w:line="288" w:lineRule="auto"/>
              <w:jc w:val="center"/>
              <w:rPr>
                <w:bCs/>
                <w:sz w:val="20"/>
                <w:szCs w:val="20"/>
              </w:rPr>
            </w:pPr>
            <w:r>
              <w:rPr>
                <w:bCs/>
                <w:sz w:val="20"/>
                <w:szCs w:val="20"/>
              </w:rPr>
              <w:t>AI</w:t>
            </w:r>
          </w:p>
        </w:tc>
        <w:tc>
          <w:tcPr>
            <w:tcW w:w="750" w:type="dxa"/>
            <w:vAlign w:val="center"/>
          </w:tcPr>
          <w:p>
            <w:pPr>
              <w:keepNext/>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95.28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95.88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95.28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94.91</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93.47</w:t>
            </w:r>
          </w:p>
        </w:tc>
      </w:tr>
    </w:tbl>
    <w:p>
      <w:pPr>
        <w:pStyle w:val="117"/>
        <w:spacing w:before="72" w:after="72"/>
        <w:jc w:val="both"/>
        <w:rPr>
          <w:kern w:val="2"/>
          <w:sz w:val="20"/>
          <w:szCs w:val="20"/>
        </w:rPr>
      </w:pPr>
      <w:r>
        <w:rPr>
          <w:rFonts w:hint="eastAsia"/>
          <w:kern w:val="2"/>
          <w:sz w:val="20"/>
          <w:szCs w:val="20"/>
        </w:rPr>
        <w:t>In BM-Case2, the Tx beam prediction obtains a better performance than that of the Tx-Rx beam pair prediction with the assumption of the optimal Rx beam or the specific Rx beam</w:t>
      </w:r>
      <w:r>
        <w:rPr>
          <w:rFonts w:hint="eastAsia"/>
          <w:kern w:val="2"/>
          <w:sz w:val="20"/>
          <w:szCs w:val="20"/>
          <w:lang w:val="en-US" w:eastAsia="zh-CN"/>
        </w:rPr>
        <w:t xml:space="preserve"> being used for measurement</w:t>
      </w:r>
      <w:r>
        <w:rPr>
          <w:rFonts w:hint="eastAsia"/>
          <w:kern w:val="2"/>
          <w:sz w:val="20"/>
          <w:szCs w:val="20"/>
        </w:rPr>
        <w:t xml:space="preserve">. </w:t>
      </w:r>
    </w:p>
    <w:p>
      <w:pPr>
        <w:pStyle w:val="3"/>
        <w:widowControl/>
        <w:autoSpaceDE/>
        <w:autoSpaceDN/>
        <w:adjustRightInd/>
        <w:spacing w:before="72" w:beforeLines="30" w:after="72" w:afterLines="30" w:line="288" w:lineRule="auto"/>
        <w:ind w:left="0" w:right="220" w:rightChars="100"/>
        <w:jc w:val="both"/>
        <w:rPr>
          <w:rFonts w:eastAsia="Arial Unicode MS"/>
          <w:b w:val="0"/>
          <w:bCs w:val="0"/>
          <w:kern w:val="2"/>
          <w:sz w:val="28"/>
          <w:szCs w:val="28"/>
          <w:lang w:val="en-US"/>
        </w:rPr>
      </w:pPr>
      <w:r>
        <w:rPr>
          <w:rFonts w:hint="eastAsia" w:eastAsia="Arial Unicode MS"/>
          <w:b w:val="0"/>
          <w:bCs w:val="0"/>
          <w:kern w:val="2"/>
          <w:sz w:val="28"/>
          <w:szCs w:val="28"/>
          <w:lang w:val="en-US"/>
        </w:rPr>
        <w:t xml:space="preserve">Evaluation for </w:t>
      </w:r>
      <w:r>
        <w:rPr>
          <w:rFonts w:hint="eastAsia" w:eastAsia="Arial Unicode MS"/>
          <w:b w:val="0"/>
          <w:bCs w:val="0"/>
          <w:kern w:val="2"/>
          <w:sz w:val="28"/>
          <w:szCs w:val="28"/>
          <w:lang w:val="en-US" w:eastAsia="zh-CN"/>
        </w:rPr>
        <w:t xml:space="preserve">AI/ML model </w:t>
      </w:r>
      <w:r>
        <w:rPr>
          <w:rFonts w:hint="eastAsia" w:eastAsia="Arial Unicode MS"/>
          <w:b w:val="0"/>
          <w:bCs w:val="0"/>
          <w:kern w:val="2"/>
          <w:sz w:val="28"/>
          <w:szCs w:val="28"/>
          <w:lang w:val="en-US"/>
        </w:rPr>
        <w:t>generalization</w:t>
      </w:r>
    </w:p>
    <w:p>
      <w:pPr>
        <w:snapToGrid w:val="0"/>
        <w:spacing w:before="72" w:beforeLines="30" w:after="72" w:afterLines="30" w:line="288" w:lineRule="auto"/>
        <w:jc w:val="both"/>
        <w:rPr>
          <w:rFonts w:eastAsia="Times New Roman"/>
          <w:sz w:val="20"/>
          <w:szCs w:val="20"/>
        </w:rPr>
      </w:pPr>
      <w:r>
        <w:rPr>
          <w:rFonts w:hint="eastAsia" w:eastAsia="Times New Roman"/>
          <w:sz w:val="20"/>
          <w:szCs w:val="20"/>
        </w:rPr>
        <w:t xml:space="preserve">To evaluate the generalization performance of AI model, </w:t>
      </w:r>
      <w:r>
        <w:rPr>
          <w:rFonts w:hint="eastAsia" w:eastAsia="Times New Roman"/>
          <w:sz w:val="20"/>
          <w:szCs w:val="20"/>
          <w:lang w:val="en-GB"/>
        </w:rPr>
        <w:t>RSRPs of</w:t>
      </w:r>
      <w:r>
        <w:rPr>
          <w:rFonts w:hint="eastAsia" w:eastAsia="Times New Roman"/>
          <w:sz w:val="20"/>
          <w:szCs w:val="20"/>
        </w:rPr>
        <w:t xml:space="preserve"> all measured beam pairs of past time instances are used as </w:t>
      </w:r>
      <w:r>
        <w:rPr>
          <w:rFonts w:hint="eastAsia"/>
          <w:sz w:val="20"/>
          <w:szCs w:val="20"/>
          <w:lang w:eastAsia="zh-CN"/>
        </w:rPr>
        <w:t xml:space="preserve">AI/ML model </w:t>
      </w:r>
      <w:r>
        <w:rPr>
          <w:rFonts w:hint="eastAsia" w:eastAsia="Times New Roman"/>
          <w:sz w:val="20"/>
          <w:szCs w:val="20"/>
        </w:rPr>
        <w:t xml:space="preserve">input, and </w:t>
      </w:r>
      <w:r>
        <w:rPr>
          <w:rFonts w:hint="eastAsia" w:eastAsia="Times New Roman"/>
          <w:sz w:val="20"/>
          <w:szCs w:val="20"/>
          <w:lang w:val="en-GB"/>
        </w:rPr>
        <w:t>the beam set for measurement and the beam set for prediction are the sam</w:t>
      </w:r>
      <w:r>
        <w:rPr>
          <w:rFonts w:hint="eastAsia"/>
          <w:sz w:val="20"/>
          <w:szCs w:val="20"/>
        </w:rPr>
        <w:t>e.</w:t>
      </w:r>
      <w:r>
        <w:rPr>
          <w:rFonts w:hint="eastAsia" w:eastAsia="Times New Roman"/>
          <w:sz w:val="20"/>
          <w:szCs w:val="20"/>
        </w:rPr>
        <w:t xml:space="preserve"> Datasets for training and testing are generated </w:t>
      </w:r>
      <w:r>
        <w:rPr>
          <w:rFonts w:hint="eastAsia"/>
          <w:sz w:val="20"/>
          <w:szCs w:val="20"/>
        </w:rPr>
        <w:t>with a UE speed of 30km/h or 60km/h or with mixed UE speeds.</w:t>
      </w:r>
      <w:r>
        <w:rPr>
          <w:rFonts w:hint="eastAsia" w:eastAsia="Times New Roman"/>
          <w:sz w:val="20"/>
          <w:szCs w:val="20"/>
        </w:rPr>
        <w:t xml:space="preserve"> According to the type of datasets for training and testing, the following seven different cases are considered for comparison.</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Case 2-3-</w:t>
      </w:r>
      <w:r>
        <w:rPr>
          <w:rFonts w:hint="eastAsia"/>
          <w:b/>
          <w:bCs/>
          <w:sz w:val="20"/>
          <w:szCs w:val="20"/>
        </w:rPr>
        <w:t>1</w:t>
      </w:r>
      <w:r>
        <w:rPr>
          <w:rFonts w:hint="eastAsia" w:eastAsia="Times New Roman"/>
          <w:b/>
          <w:bCs/>
          <w:sz w:val="20"/>
          <w:szCs w:val="20"/>
        </w:rPr>
        <w:t>:</w:t>
      </w:r>
      <w:r>
        <w:rPr>
          <w:rFonts w:hint="eastAsia" w:eastAsia="Times New Roman"/>
          <w:sz w:val="20"/>
          <w:szCs w:val="20"/>
        </w:rPr>
        <w:t xml:space="preserve"> </w:t>
      </w:r>
      <w:r>
        <w:rPr>
          <w:rFonts w:hint="eastAsia"/>
          <w:sz w:val="20"/>
          <w:szCs w:val="20"/>
        </w:rPr>
        <w:t>Training with samples of mixed UE speeds, testing with samples of UE speed of 60km/h</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Case 2-3-</w:t>
      </w:r>
      <w:r>
        <w:rPr>
          <w:rFonts w:hint="eastAsia"/>
          <w:b/>
          <w:bCs/>
          <w:sz w:val="20"/>
          <w:szCs w:val="20"/>
        </w:rPr>
        <w:t>2</w:t>
      </w:r>
      <w:r>
        <w:rPr>
          <w:rFonts w:hint="eastAsia" w:eastAsia="Times New Roman"/>
          <w:b/>
          <w:bCs/>
          <w:sz w:val="20"/>
          <w:szCs w:val="20"/>
        </w:rPr>
        <w:t>:</w:t>
      </w:r>
      <w:r>
        <w:rPr>
          <w:rFonts w:hint="eastAsia" w:eastAsia="Times New Roman"/>
          <w:sz w:val="20"/>
          <w:szCs w:val="20"/>
        </w:rPr>
        <w:t xml:space="preserve"> </w:t>
      </w:r>
      <w:r>
        <w:rPr>
          <w:rFonts w:hint="eastAsia"/>
          <w:sz w:val="20"/>
          <w:szCs w:val="20"/>
        </w:rPr>
        <w:t>Training with samples of mixed UE speeds, testing with samples of UE speed of 30km/h</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Case 2-3-</w:t>
      </w:r>
      <w:r>
        <w:rPr>
          <w:rFonts w:hint="eastAsia"/>
          <w:b/>
          <w:bCs/>
          <w:sz w:val="20"/>
          <w:szCs w:val="20"/>
        </w:rPr>
        <w:t>3</w:t>
      </w:r>
      <w:r>
        <w:rPr>
          <w:rFonts w:hint="eastAsia" w:eastAsia="Times New Roman"/>
          <w:b/>
          <w:bCs/>
          <w:sz w:val="20"/>
          <w:szCs w:val="20"/>
        </w:rPr>
        <w:t>:</w:t>
      </w:r>
      <w:r>
        <w:rPr>
          <w:rFonts w:hint="eastAsia" w:eastAsia="Times New Roman"/>
          <w:sz w:val="20"/>
          <w:szCs w:val="20"/>
        </w:rPr>
        <w:t xml:space="preserve"> Both t</w:t>
      </w:r>
      <w:r>
        <w:rPr>
          <w:rFonts w:hint="eastAsia"/>
          <w:sz w:val="20"/>
          <w:szCs w:val="20"/>
        </w:rPr>
        <w:t>raining and testing with samples of mixed UE speeds</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Case 2-3-</w:t>
      </w:r>
      <w:r>
        <w:rPr>
          <w:rFonts w:hint="eastAsia"/>
          <w:b/>
          <w:bCs/>
          <w:sz w:val="20"/>
          <w:szCs w:val="20"/>
        </w:rPr>
        <w:t>4</w:t>
      </w:r>
      <w:r>
        <w:rPr>
          <w:rFonts w:hint="eastAsia" w:eastAsia="Times New Roman"/>
          <w:b/>
          <w:bCs/>
          <w:sz w:val="20"/>
          <w:szCs w:val="20"/>
        </w:rPr>
        <w:t xml:space="preserve">: </w:t>
      </w:r>
      <w:r>
        <w:rPr>
          <w:rFonts w:hint="eastAsia" w:eastAsia="Times New Roman"/>
          <w:sz w:val="20"/>
          <w:szCs w:val="20"/>
        </w:rPr>
        <w:t>Both t</w:t>
      </w:r>
      <w:r>
        <w:rPr>
          <w:rFonts w:hint="eastAsia"/>
          <w:sz w:val="20"/>
          <w:szCs w:val="20"/>
        </w:rPr>
        <w:t>raining and testing with samples of UE speed of 60km/h</w:t>
      </w:r>
    </w:p>
    <w:p>
      <w:pPr>
        <w:numPr>
          <w:ilvl w:val="0"/>
          <w:numId w:val="15"/>
        </w:numPr>
        <w:snapToGrid w:val="0"/>
        <w:spacing w:before="72" w:beforeLines="30" w:after="72" w:afterLines="30" w:line="288" w:lineRule="auto"/>
        <w:ind w:left="839"/>
        <w:jc w:val="both"/>
        <w:rPr>
          <w:rFonts w:eastAsia="Times New Roman"/>
          <w:sz w:val="20"/>
          <w:szCs w:val="20"/>
        </w:rPr>
      </w:pPr>
      <w:r>
        <w:rPr>
          <w:rFonts w:hint="eastAsia" w:eastAsia="Times New Roman"/>
          <w:b/>
          <w:bCs/>
          <w:sz w:val="20"/>
          <w:szCs w:val="20"/>
        </w:rPr>
        <w:t>Case 2-3-</w:t>
      </w:r>
      <w:r>
        <w:rPr>
          <w:rFonts w:hint="eastAsia"/>
          <w:b/>
          <w:bCs/>
          <w:sz w:val="20"/>
          <w:szCs w:val="20"/>
        </w:rPr>
        <w:t>5</w:t>
      </w:r>
      <w:r>
        <w:rPr>
          <w:rFonts w:hint="eastAsia" w:eastAsia="Times New Roman"/>
          <w:b/>
          <w:bCs/>
          <w:sz w:val="20"/>
          <w:szCs w:val="20"/>
        </w:rPr>
        <w:t xml:space="preserve">: </w:t>
      </w:r>
      <w:r>
        <w:rPr>
          <w:rFonts w:hint="eastAsia" w:eastAsia="Times New Roman"/>
          <w:sz w:val="20"/>
          <w:szCs w:val="20"/>
        </w:rPr>
        <w:t>Both t</w:t>
      </w:r>
      <w:r>
        <w:rPr>
          <w:rFonts w:hint="eastAsia"/>
          <w:sz w:val="20"/>
          <w:szCs w:val="20"/>
        </w:rPr>
        <w:t>raining and testing with samples of UE speed of 30km/h</w:t>
      </w:r>
    </w:p>
    <w:p>
      <w:pPr>
        <w:snapToGrid w:val="0"/>
        <w:spacing w:before="72" w:beforeLines="30" w:after="72" w:afterLines="30" w:line="288" w:lineRule="auto"/>
        <w:jc w:val="both"/>
        <w:rPr>
          <w:sz w:val="20"/>
          <w:szCs w:val="20"/>
        </w:rPr>
      </w:pPr>
      <w:r>
        <w:rPr>
          <w:rFonts w:hint="eastAsia"/>
          <w:sz w:val="20"/>
          <w:szCs w:val="20"/>
        </w:rPr>
        <w:t xml:space="preserve">Detailed simulation results for the 30km/h and 60km/h cases above are provided in the result collection excel [5]. Some of the </w:t>
      </w:r>
      <w:r>
        <w:rPr>
          <w:rFonts w:hint="eastAsia" w:eastAsia="Times New Roman"/>
          <w:sz w:val="20"/>
          <w:szCs w:val="20"/>
        </w:rPr>
        <w:t xml:space="preserve">simulation results are </w:t>
      </w:r>
      <w:r>
        <w:rPr>
          <w:rFonts w:hint="eastAsia"/>
          <w:sz w:val="20"/>
          <w:szCs w:val="20"/>
        </w:rPr>
        <w:t xml:space="preserve">also </w:t>
      </w:r>
      <w:r>
        <w:rPr>
          <w:rFonts w:hint="eastAsia" w:eastAsia="Times New Roman"/>
          <w:sz w:val="20"/>
          <w:szCs w:val="20"/>
        </w:rPr>
        <w:t xml:space="preserve">provided in Table </w:t>
      </w:r>
      <w:r>
        <w:rPr>
          <w:rFonts w:hint="eastAsia"/>
          <w:sz w:val="20"/>
          <w:szCs w:val="20"/>
        </w:rPr>
        <w:t>XVI for reference</w:t>
      </w:r>
      <w:r>
        <w:rPr>
          <w:rFonts w:hint="eastAsia" w:eastAsia="Times New Roman"/>
          <w:sz w:val="20"/>
          <w:szCs w:val="20"/>
        </w:rPr>
        <w:t xml:space="preserve">. </w:t>
      </w:r>
      <w:r>
        <w:rPr>
          <w:rFonts w:hint="eastAsia" w:eastAsia="Times New Roman"/>
          <w:sz w:val="20"/>
          <w:szCs w:val="20"/>
          <w:lang w:val="en-GB"/>
        </w:rPr>
        <w:t xml:space="preserve">As can be seen from </w:t>
      </w:r>
      <w:r>
        <w:rPr>
          <w:rFonts w:hint="eastAsia"/>
          <w:sz w:val="20"/>
          <w:szCs w:val="20"/>
        </w:rPr>
        <w:t xml:space="preserve">the simulation results in </w:t>
      </w:r>
      <w:r>
        <w:rPr>
          <w:rFonts w:hint="eastAsia"/>
          <w:sz w:val="20"/>
          <w:szCs w:val="20"/>
          <w:lang w:val="en-GB"/>
        </w:rPr>
        <w:t xml:space="preserve">Table </w:t>
      </w:r>
      <w:r>
        <w:rPr>
          <w:rFonts w:hint="eastAsia"/>
          <w:sz w:val="20"/>
          <w:szCs w:val="20"/>
          <w:lang w:val="en-GB"/>
        </w:rPr>
        <w:fldChar w:fldCharType="begin"/>
      </w:r>
      <w:r>
        <w:rPr>
          <w:rFonts w:hint="eastAsia"/>
          <w:sz w:val="20"/>
          <w:szCs w:val="20"/>
          <w:lang w:val="en-GB"/>
        </w:rPr>
        <w:instrText xml:space="preserve"> = 16 \* ROMAN \* MERGEFORMAT </w:instrText>
      </w:r>
      <w:r>
        <w:rPr>
          <w:rFonts w:hint="eastAsia"/>
          <w:sz w:val="20"/>
          <w:szCs w:val="20"/>
          <w:lang w:val="en-GB"/>
        </w:rPr>
        <w:fldChar w:fldCharType="separate"/>
      </w:r>
      <w:r>
        <w:rPr>
          <w:rFonts w:hint="eastAsia"/>
          <w:sz w:val="20"/>
          <w:szCs w:val="20"/>
        </w:rPr>
        <w:t>XVI</w:t>
      </w:r>
      <w:r>
        <w:rPr>
          <w:rFonts w:hint="eastAsia"/>
          <w:sz w:val="20"/>
          <w:szCs w:val="20"/>
          <w:lang w:val="en-GB"/>
        </w:rPr>
        <w:fldChar w:fldCharType="end"/>
      </w:r>
      <w:r>
        <w:rPr>
          <w:rFonts w:hint="eastAsia"/>
          <w:sz w:val="20"/>
          <w:szCs w:val="20"/>
          <w:lang w:val="en-GB"/>
        </w:rPr>
        <w:t xml:space="preserve">, </w:t>
      </w:r>
      <w:r>
        <w:rPr>
          <w:rFonts w:hint="eastAsia"/>
          <w:sz w:val="20"/>
          <w:szCs w:val="20"/>
        </w:rPr>
        <w:t xml:space="preserve">if the </w:t>
      </w:r>
      <w:r>
        <w:rPr>
          <w:rFonts w:hint="eastAsia"/>
          <w:sz w:val="20"/>
          <w:szCs w:val="20"/>
          <w:lang w:eastAsia="zh-CN"/>
        </w:rPr>
        <w:t xml:space="preserve">AI/ML model </w:t>
      </w:r>
      <w:r>
        <w:rPr>
          <w:rFonts w:hint="eastAsia"/>
          <w:sz w:val="20"/>
          <w:szCs w:val="20"/>
        </w:rPr>
        <w:t>is trained with samples of a single UE speed or mixed UE speeds, a little performance loss is observed as the UE speed in testing samples increases from 30km/h to 60km/h. T</w:t>
      </w:r>
      <w:r>
        <w:rPr>
          <w:rFonts w:hint="eastAsia" w:eastAsia="Times New Roman"/>
          <w:sz w:val="20"/>
          <w:szCs w:val="20"/>
        </w:rPr>
        <w:t>he AI based method in case 2-3-1, case 2-3-2, case 2-3-3, and case 2-3-4 can also achieve a better performance than that of the non-AI method in scenarios with mixed UE speeds. Additionally,</w:t>
      </w:r>
      <w:r>
        <w:rPr>
          <w:rFonts w:hint="eastAsia"/>
          <w:sz w:val="20"/>
          <w:szCs w:val="20"/>
        </w:rPr>
        <w:t xml:space="preserve"> c</w:t>
      </w:r>
      <w:r>
        <w:rPr>
          <w:rFonts w:hint="eastAsia" w:eastAsia="Times New Roman"/>
          <w:sz w:val="20"/>
          <w:szCs w:val="20"/>
        </w:rPr>
        <w:t xml:space="preserve">ompared with the case that the same UE speed is used for generating the training data samples and the testing data samples, average performance is observed if both the training data samples and the testing data samples of </w:t>
      </w:r>
      <w:r>
        <w:rPr>
          <w:rFonts w:hint="eastAsia"/>
          <w:sz w:val="20"/>
          <w:szCs w:val="20"/>
          <w:lang w:eastAsia="zh-CN"/>
        </w:rPr>
        <w:t xml:space="preserve">AI/ML model </w:t>
      </w:r>
      <w:r>
        <w:rPr>
          <w:rFonts w:hint="eastAsia" w:eastAsia="Times New Roman"/>
          <w:sz w:val="20"/>
          <w:szCs w:val="20"/>
        </w:rPr>
        <w:t>are the mixed data samples</w:t>
      </w:r>
      <w:r>
        <w:rPr>
          <w:rFonts w:hint="eastAsia"/>
          <w:sz w:val="20"/>
          <w:szCs w:val="20"/>
        </w:rPr>
        <w:t xml:space="preserve">. </w:t>
      </w:r>
    </w:p>
    <w:p>
      <w:pPr>
        <w:snapToGrid w:val="0"/>
        <w:spacing w:before="72" w:beforeLines="30" w:after="72" w:afterLines="30" w:line="288" w:lineRule="auto"/>
        <w:jc w:val="center"/>
        <w:rPr>
          <w:rFonts w:eastAsia="Times New Roman"/>
          <w:sz w:val="20"/>
          <w:szCs w:val="20"/>
        </w:rPr>
      </w:pPr>
      <w:r>
        <w:rPr>
          <w:rFonts w:hint="eastAsia" w:eastAsia="Times New Roman"/>
          <w:sz w:val="20"/>
          <w:szCs w:val="20"/>
          <w:lang w:val="en-GB"/>
        </w:rPr>
        <w:t>T</w:t>
      </w:r>
      <w:r>
        <w:rPr>
          <w:rFonts w:hint="eastAsia"/>
          <w:sz w:val="20"/>
          <w:szCs w:val="20"/>
          <w:lang w:val="en-GB"/>
        </w:rPr>
        <w:t xml:space="preserve">able </w:t>
      </w:r>
      <w:r>
        <w:rPr>
          <w:rFonts w:hint="eastAsia"/>
          <w:sz w:val="20"/>
          <w:szCs w:val="20"/>
          <w:lang w:val="en-GB"/>
        </w:rPr>
        <w:fldChar w:fldCharType="begin"/>
      </w:r>
      <w:r>
        <w:rPr>
          <w:rFonts w:hint="eastAsia"/>
          <w:sz w:val="20"/>
          <w:szCs w:val="20"/>
          <w:lang w:val="en-GB"/>
        </w:rPr>
        <w:instrText xml:space="preserve"> = 16 \* ROMAN \* MERGEFORMAT </w:instrText>
      </w:r>
      <w:r>
        <w:rPr>
          <w:rFonts w:hint="eastAsia"/>
          <w:sz w:val="20"/>
          <w:szCs w:val="20"/>
          <w:lang w:val="en-GB"/>
        </w:rPr>
        <w:fldChar w:fldCharType="separate"/>
      </w:r>
      <w:r>
        <w:rPr>
          <w:rFonts w:hint="eastAsia"/>
          <w:sz w:val="20"/>
          <w:szCs w:val="20"/>
        </w:rPr>
        <w:t>XVI</w:t>
      </w:r>
      <w:r>
        <w:rPr>
          <w:rFonts w:hint="eastAsia"/>
          <w:sz w:val="20"/>
          <w:szCs w:val="20"/>
          <w:lang w:val="en-GB"/>
        </w:rPr>
        <w:fldChar w:fldCharType="end"/>
      </w:r>
      <w:r>
        <w:rPr>
          <w:rFonts w:hint="eastAsia" w:eastAsia="Times New Roman"/>
          <w:sz w:val="20"/>
          <w:szCs w:val="20"/>
        </w:rPr>
        <w:t>.  Evaluation of generalization performance on different UE speeds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147"/>
        <w:gridCol w:w="655"/>
        <w:gridCol w:w="666"/>
        <w:gridCol w:w="666"/>
        <w:gridCol w:w="666"/>
        <w:gridCol w:w="666"/>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295" w:type="dxa"/>
            <w:gridSpan w:val="2"/>
            <w:vMerge w:val="restart"/>
            <w:vAlign w:val="center"/>
          </w:tcPr>
          <w:p>
            <w:pPr>
              <w:snapToGrid w:val="0"/>
              <w:spacing w:before="72" w:beforeLines="30" w:after="72" w:afterLines="30" w:line="288" w:lineRule="auto"/>
              <w:jc w:val="center"/>
              <w:rPr>
                <w:bCs/>
                <w:sz w:val="20"/>
                <w:szCs w:val="20"/>
              </w:rPr>
            </w:pPr>
            <w:r>
              <w:rPr>
                <w:bCs/>
                <w:sz w:val="20"/>
                <w:szCs w:val="20"/>
              </w:rPr>
              <w:t>Cases</w:t>
            </w:r>
          </w:p>
        </w:tc>
        <w:tc>
          <w:tcPr>
            <w:tcW w:w="655" w:type="dxa"/>
            <w:vMerge w:val="restart"/>
            <w:vAlign w:val="center"/>
          </w:tcPr>
          <w:p>
            <w:pPr>
              <w:snapToGrid w:val="0"/>
              <w:spacing w:before="72" w:beforeLines="30" w:after="72" w:afterLines="30" w:line="288" w:lineRule="auto"/>
              <w:jc w:val="center"/>
              <w:rPr>
                <w:bCs/>
                <w:sz w:val="20"/>
                <w:szCs w:val="20"/>
              </w:rPr>
            </w:pPr>
            <w:r>
              <w:rPr>
                <w:bCs/>
                <w:sz w:val="20"/>
                <w:szCs w:val="20"/>
              </w:rPr>
              <w:t>Top-K</w:t>
            </w:r>
          </w:p>
        </w:tc>
        <w:tc>
          <w:tcPr>
            <w:tcW w:w="3330" w:type="dxa"/>
            <w:gridSpan w:val="5"/>
            <w:vAlign w:val="center"/>
          </w:tcPr>
          <w:p>
            <w:pPr>
              <w:snapToGrid w:val="0"/>
              <w:spacing w:before="72" w:beforeLines="30" w:after="72" w:afterLines="30" w:line="288" w:lineRule="auto"/>
              <w:jc w:val="center"/>
              <w:rPr>
                <w:bCs/>
                <w:sz w:val="20"/>
                <w:szCs w:val="20"/>
              </w:rPr>
            </w:pPr>
            <w:r>
              <w:rPr>
                <w:bCs/>
                <w:sz w:val="20"/>
                <w:szCs w:val="20"/>
              </w:rPr>
              <w:t>Top-K Prediction Accuracy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295" w:type="dxa"/>
            <w:gridSpan w:val="2"/>
            <w:vMerge w:val="continue"/>
            <w:vAlign w:val="center"/>
          </w:tcPr>
          <w:p>
            <w:pPr>
              <w:snapToGrid w:val="0"/>
              <w:spacing w:before="72" w:beforeLines="30" w:after="72" w:afterLines="30" w:line="288" w:lineRule="auto"/>
              <w:jc w:val="center"/>
              <w:rPr>
                <w:bCs/>
                <w:sz w:val="20"/>
                <w:szCs w:val="20"/>
              </w:rPr>
            </w:pPr>
          </w:p>
        </w:tc>
        <w:tc>
          <w:tcPr>
            <w:tcW w:w="655" w:type="dxa"/>
            <w:vMerge w:val="continue"/>
            <w:vAlign w:val="center"/>
          </w:tcPr>
          <w:p>
            <w:pPr>
              <w:snapToGrid w:val="0"/>
              <w:spacing w:before="72" w:beforeLines="30" w:after="72" w:afterLines="30" w:line="288" w:lineRule="auto"/>
              <w:jc w:val="center"/>
              <w:rPr>
                <w:bCs/>
                <w:sz w:val="20"/>
                <w:szCs w:val="20"/>
                <w:lang w:eastAsia="en-GB"/>
              </w:rPr>
            </w:pPr>
          </w:p>
        </w:tc>
        <w:tc>
          <w:tcPr>
            <w:tcW w:w="666" w:type="dxa"/>
            <w:vAlign w:val="center"/>
          </w:tcPr>
          <w:p>
            <w:pPr>
              <w:snapToGrid w:val="0"/>
              <w:spacing w:before="72" w:beforeLines="30" w:after="72" w:afterLines="30" w:line="288" w:lineRule="auto"/>
              <w:jc w:val="center"/>
              <w:rPr>
                <w:bCs/>
                <w:i/>
                <w:iCs/>
                <w:sz w:val="20"/>
                <w:szCs w:val="20"/>
              </w:rPr>
            </w:pPr>
            <w:r>
              <w:rPr>
                <w:bCs/>
                <w:sz w:val="20"/>
                <w:szCs w:val="20"/>
                <w:lang w:eastAsia="en-GB"/>
              </w:rPr>
              <w:t>T+1</w:t>
            </w:r>
          </w:p>
        </w:tc>
        <w:tc>
          <w:tcPr>
            <w:tcW w:w="666" w:type="dxa"/>
            <w:vAlign w:val="center"/>
          </w:tcPr>
          <w:p>
            <w:pPr>
              <w:snapToGrid w:val="0"/>
              <w:spacing w:before="72" w:beforeLines="30" w:after="72" w:afterLines="30" w:line="288" w:lineRule="auto"/>
              <w:jc w:val="center"/>
              <w:rPr>
                <w:bCs/>
                <w:i/>
                <w:iCs/>
                <w:sz w:val="20"/>
                <w:szCs w:val="20"/>
              </w:rPr>
            </w:pPr>
            <w:r>
              <w:rPr>
                <w:bCs/>
                <w:sz w:val="20"/>
                <w:szCs w:val="20"/>
                <w:lang w:eastAsia="en-GB"/>
              </w:rPr>
              <w:t>T+2</w:t>
            </w:r>
          </w:p>
        </w:tc>
        <w:tc>
          <w:tcPr>
            <w:tcW w:w="666" w:type="dxa"/>
            <w:vAlign w:val="center"/>
          </w:tcPr>
          <w:p>
            <w:pPr>
              <w:snapToGrid w:val="0"/>
              <w:spacing w:before="72" w:beforeLines="30" w:after="72" w:afterLines="30" w:line="288" w:lineRule="auto"/>
              <w:jc w:val="center"/>
              <w:rPr>
                <w:bCs/>
                <w:i/>
                <w:iCs/>
                <w:sz w:val="20"/>
                <w:szCs w:val="20"/>
              </w:rPr>
            </w:pPr>
            <w:r>
              <w:rPr>
                <w:bCs/>
                <w:sz w:val="20"/>
                <w:szCs w:val="20"/>
                <w:lang w:eastAsia="en-GB"/>
              </w:rPr>
              <w:t>T+3</w:t>
            </w:r>
          </w:p>
        </w:tc>
        <w:tc>
          <w:tcPr>
            <w:tcW w:w="666" w:type="dxa"/>
            <w:vAlign w:val="center"/>
          </w:tcPr>
          <w:p>
            <w:pPr>
              <w:snapToGrid w:val="0"/>
              <w:spacing w:before="72" w:beforeLines="30" w:after="72" w:afterLines="30" w:line="288" w:lineRule="auto"/>
              <w:jc w:val="center"/>
              <w:rPr>
                <w:bCs/>
                <w:i/>
                <w:iCs/>
                <w:sz w:val="20"/>
                <w:szCs w:val="20"/>
              </w:rPr>
            </w:pPr>
            <w:r>
              <w:rPr>
                <w:bCs/>
                <w:sz w:val="20"/>
                <w:szCs w:val="20"/>
                <w:lang w:eastAsia="en-GB"/>
              </w:rPr>
              <w:t>T+4</w:t>
            </w:r>
          </w:p>
        </w:tc>
        <w:tc>
          <w:tcPr>
            <w:tcW w:w="666" w:type="dxa"/>
            <w:vAlign w:val="center"/>
          </w:tcPr>
          <w:p>
            <w:pPr>
              <w:snapToGrid w:val="0"/>
              <w:spacing w:before="72" w:beforeLines="30" w:after="72" w:afterLines="30" w:line="288" w:lineRule="auto"/>
              <w:jc w:val="center"/>
              <w:rPr>
                <w:bCs/>
                <w:sz w:val="20"/>
                <w:szCs w:val="20"/>
                <w:lang w:eastAsia="en-GB"/>
              </w:rPr>
            </w:pPr>
            <w:r>
              <w:rPr>
                <w:bCs/>
                <w:sz w:val="20"/>
                <w:szCs w:val="20"/>
                <w:lang w:eastAsia="en-GB"/>
              </w:rPr>
              <w:t>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snapToGrid w:val="0"/>
              <w:spacing w:before="72" w:beforeLines="30" w:after="72" w:afterLines="30" w:line="288" w:lineRule="auto"/>
              <w:jc w:val="center"/>
              <w:rPr>
                <w:bCs/>
                <w:sz w:val="20"/>
                <w:szCs w:val="20"/>
              </w:rPr>
            </w:pPr>
            <w:r>
              <w:rPr>
                <w:bCs/>
                <w:sz w:val="20"/>
                <w:szCs w:val="20"/>
              </w:rPr>
              <w:t>Case 2-3-</w:t>
            </w:r>
            <w:r>
              <w:rPr>
                <w:rFonts w:hint="eastAsia"/>
                <w:bCs/>
                <w:sz w:val="20"/>
                <w:szCs w:val="20"/>
              </w:rPr>
              <w:t>1</w:t>
            </w:r>
          </w:p>
        </w:tc>
        <w:tc>
          <w:tcPr>
            <w:tcW w:w="1147" w:type="dxa"/>
            <w:vAlign w:val="center"/>
          </w:tcPr>
          <w:p>
            <w:pPr>
              <w:snapToGrid w:val="0"/>
              <w:spacing w:before="72" w:beforeLines="30" w:after="72" w:afterLines="30" w:line="288" w:lineRule="auto"/>
              <w:jc w:val="center"/>
              <w:rPr>
                <w:bCs/>
                <w:sz w:val="20"/>
                <w:szCs w:val="20"/>
              </w:rPr>
            </w:pPr>
            <w:r>
              <w:rPr>
                <w:bCs/>
                <w:sz w:val="20"/>
                <w:szCs w:val="20"/>
              </w:rPr>
              <w:t>Non-AI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93.76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88.64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83.34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78.49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74.24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snapToGrid w:val="0"/>
              <w:spacing w:before="72" w:beforeLines="30" w:after="72" w:afterLines="30" w:line="288" w:lineRule="auto"/>
              <w:jc w:val="center"/>
              <w:rPr>
                <w:bCs/>
                <w:sz w:val="20"/>
                <w:szCs w:val="20"/>
              </w:rPr>
            </w:pPr>
          </w:p>
        </w:tc>
        <w:tc>
          <w:tcPr>
            <w:tcW w:w="1147" w:type="dxa"/>
            <w:vAlign w:val="center"/>
          </w:tcPr>
          <w:p>
            <w:pPr>
              <w:snapToGrid w:val="0"/>
              <w:spacing w:before="72" w:beforeLines="30" w:after="72" w:afterLines="30" w:line="288" w:lineRule="auto"/>
              <w:jc w:val="center"/>
              <w:rPr>
                <w:bCs/>
                <w:sz w:val="20"/>
                <w:szCs w:val="20"/>
              </w:rPr>
            </w:pPr>
            <w:r>
              <w:rPr>
                <w:bCs/>
                <w:sz w:val="20"/>
                <w:szCs w:val="20"/>
              </w:rPr>
              <w:t>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95.27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93.94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93.16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92.27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snapToGrid w:val="0"/>
              <w:spacing w:before="72" w:beforeLines="30" w:after="72" w:afterLines="30" w:line="288" w:lineRule="auto"/>
              <w:jc w:val="center"/>
              <w:rPr>
                <w:bCs/>
                <w:sz w:val="20"/>
                <w:szCs w:val="20"/>
              </w:rPr>
            </w:pPr>
            <w:r>
              <w:rPr>
                <w:bCs/>
                <w:sz w:val="20"/>
                <w:szCs w:val="20"/>
              </w:rPr>
              <w:t>Case 2-3-</w:t>
            </w:r>
            <w:r>
              <w:rPr>
                <w:rFonts w:hint="eastAsia"/>
                <w:bCs/>
                <w:sz w:val="20"/>
                <w:szCs w:val="20"/>
              </w:rPr>
              <w:t>2</w:t>
            </w:r>
          </w:p>
        </w:tc>
        <w:tc>
          <w:tcPr>
            <w:tcW w:w="1147" w:type="dxa"/>
            <w:vAlign w:val="center"/>
          </w:tcPr>
          <w:p>
            <w:pPr>
              <w:snapToGrid w:val="0"/>
              <w:spacing w:before="72" w:beforeLines="30" w:after="72" w:afterLines="30" w:line="288" w:lineRule="auto"/>
              <w:jc w:val="center"/>
              <w:rPr>
                <w:bCs/>
                <w:sz w:val="20"/>
                <w:szCs w:val="20"/>
              </w:rPr>
            </w:pPr>
            <w:r>
              <w:rPr>
                <w:bCs/>
                <w:sz w:val="20"/>
                <w:szCs w:val="20"/>
              </w:rPr>
              <w:t>Non-AI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95.86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92.36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89.01</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86.36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snapToGrid w:val="0"/>
              <w:spacing w:before="72" w:beforeLines="30" w:after="72" w:afterLines="30" w:line="288" w:lineRule="auto"/>
              <w:jc w:val="center"/>
              <w:rPr>
                <w:bCs/>
                <w:sz w:val="20"/>
                <w:szCs w:val="20"/>
              </w:rPr>
            </w:pPr>
          </w:p>
        </w:tc>
        <w:tc>
          <w:tcPr>
            <w:tcW w:w="1147" w:type="dxa"/>
            <w:vAlign w:val="center"/>
          </w:tcPr>
          <w:p>
            <w:pPr>
              <w:snapToGrid w:val="0"/>
              <w:spacing w:before="72" w:beforeLines="30" w:after="72" w:afterLines="30" w:line="288" w:lineRule="auto"/>
              <w:jc w:val="center"/>
              <w:rPr>
                <w:bCs/>
                <w:sz w:val="20"/>
                <w:szCs w:val="20"/>
              </w:rPr>
            </w:pPr>
            <w:r>
              <w:rPr>
                <w:bCs/>
                <w:sz w:val="20"/>
                <w:szCs w:val="20"/>
              </w:rPr>
              <w:t>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96.69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96.03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95.70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95.14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snapToGrid w:val="0"/>
              <w:spacing w:before="72" w:beforeLines="30" w:after="72" w:afterLines="30" w:line="288" w:lineRule="auto"/>
              <w:jc w:val="center"/>
              <w:rPr>
                <w:bCs/>
                <w:sz w:val="20"/>
                <w:szCs w:val="20"/>
              </w:rPr>
            </w:pPr>
            <w:r>
              <w:rPr>
                <w:bCs/>
                <w:sz w:val="20"/>
                <w:szCs w:val="20"/>
              </w:rPr>
              <w:t>Case 2-3-</w:t>
            </w:r>
            <w:r>
              <w:rPr>
                <w:rFonts w:hint="eastAsia"/>
                <w:bCs/>
                <w:sz w:val="20"/>
                <w:szCs w:val="20"/>
              </w:rPr>
              <w:t>3</w:t>
            </w:r>
          </w:p>
        </w:tc>
        <w:tc>
          <w:tcPr>
            <w:tcW w:w="1147" w:type="dxa"/>
            <w:vAlign w:val="center"/>
          </w:tcPr>
          <w:p>
            <w:pPr>
              <w:snapToGrid w:val="0"/>
              <w:spacing w:before="72" w:beforeLines="30" w:after="72" w:afterLines="30" w:line="288" w:lineRule="auto"/>
              <w:jc w:val="center"/>
              <w:rPr>
                <w:bCs/>
                <w:sz w:val="20"/>
                <w:szCs w:val="20"/>
              </w:rPr>
            </w:pPr>
            <w:r>
              <w:rPr>
                <w:bCs/>
                <w:sz w:val="20"/>
                <w:szCs w:val="20"/>
              </w:rPr>
              <w:t>Non-AI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93.79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88.58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83.99</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79.76</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75.62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snapToGrid w:val="0"/>
              <w:spacing w:before="72" w:beforeLines="30" w:after="72" w:afterLines="30" w:line="288" w:lineRule="auto"/>
              <w:jc w:val="center"/>
              <w:rPr>
                <w:bCs/>
                <w:sz w:val="20"/>
                <w:szCs w:val="20"/>
              </w:rPr>
            </w:pPr>
          </w:p>
        </w:tc>
        <w:tc>
          <w:tcPr>
            <w:tcW w:w="1147" w:type="dxa"/>
            <w:vAlign w:val="center"/>
          </w:tcPr>
          <w:p>
            <w:pPr>
              <w:snapToGrid w:val="0"/>
              <w:spacing w:before="72" w:beforeLines="30" w:after="72" w:afterLines="30" w:line="288" w:lineRule="auto"/>
              <w:jc w:val="center"/>
              <w:rPr>
                <w:bCs/>
                <w:sz w:val="20"/>
                <w:szCs w:val="20"/>
              </w:rPr>
            </w:pPr>
            <w:r>
              <w:rPr>
                <w:bCs/>
                <w:sz w:val="20"/>
                <w:szCs w:val="20"/>
              </w:rPr>
              <w:t>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95.38</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94.87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94.61</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93.63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snapToGrid w:val="0"/>
              <w:spacing w:before="72" w:beforeLines="30" w:after="72" w:afterLines="30" w:line="288" w:lineRule="auto"/>
              <w:jc w:val="center"/>
              <w:rPr>
                <w:bCs/>
                <w:sz w:val="20"/>
                <w:szCs w:val="20"/>
              </w:rPr>
            </w:pPr>
            <w:r>
              <w:rPr>
                <w:bCs/>
                <w:sz w:val="20"/>
                <w:szCs w:val="20"/>
              </w:rPr>
              <w:t>Case 2-3-</w:t>
            </w:r>
            <w:r>
              <w:rPr>
                <w:rFonts w:hint="eastAsia"/>
                <w:bCs/>
                <w:sz w:val="20"/>
                <w:szCs w:val="20"/>
              </w:rPr>
              <w:t>4</w:t>
            </w:r>
          </w:p>
        </w:tc>
        <w:tc>
          <w:tcPr>
            <w:tcW w:w="1147" w:type="dxa"/>
            <w:vAlign w:val="center"/>
          </w:tcPr>
          <w:p>
            <w:pPr>
              <w:snapToGrid w:val="0"/>
              <w:spacing w:before="72" w:beforeLines="30" w:after="72" w:afterLines="30" w:line="288" w:lineRule="auto"/>
              <w:jc w:val="center"/>
              <w:rPr>
                <w:bCs/>
                <w:sz w:val="20"/>
                <w:szCs w:val="20"/>
              </w:rPr>
            </w:pPr>
            <w:r>
              <w:rPr>
                <w:bCs/>
                <w:sz w:val="20"/>
                <w:szCs w:val="20"/>
              </w:rPr>
              <w:t>Non-AI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93.33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88.40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83.17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79.27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74.63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continue"/>
            <w:vAlign w:val="center"/>
          </w:tcPr>
          <w:p>
            <w:pPr>
              <w:snapToGrid w:val="0"/>
              <w:spacing w:before="72" w:beforeLines="30" w:after="72" w:afterLines="30" w:line="288" w:lineRule="auto"/>
              <w:jc w:val="center"/>
              <w:rPr>
                <w:bCs/>
                <w:sz w:val="20"/>
                <w:szCs w:val="20"/>
              </w:rPr>
            </w:pPr>
          </w:p>
        </w:tc>
        <w:tc>
          <w:tcPr>
            <w:tcW w:w="1147" w:type="dxa"/>
            <w:vAlign w:val="center"/>
          </w:tcPr>
          <w:p>
            <w:pPr>
              <w:snapToGrid w:val="0"/>
              <w:spacing w:before="72" w:beforeLines="30" w:after="72" w:afterLines="30" w:line="288" w:lineRule="auto"/>
              <w:jc w:val="center"/>
              <w:rPr>
                <w:bCs/>
                <w:sz w:val="20"/>
                <w:szCs w:val="20"/>
              </w:rPr>
            </w:pPr>
            <w:r>
              <w:rPr>
                <w:bCs/>
                <w:sz w:val="20"/>
                <w:szCs w:val="20"/>
              </w:rPr>
              <w:t>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95.37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95.33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95.47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95.27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48" w:type="dxa"/>
            <w:vMerge w:val="restart"/>
            <w:vAlign w:val="center"/>
          </w:tcPr>
          <w:p>
            <w:pPr>
              <w:snapToGrid w:val="0"/>
              <w:spacing w:before="72" w:beforeLines="30" w:after="72" w:afterLines="30" w:line="288" w:lineRule="auto"/>
              <w:jc w:val="center"/>
              <w:rPr>
                <w:bCs/>
                <w:sz w:val="20"/>
                <w:szCs w:val="20"/>
              </w:rPr>
            </w:pPr>
            <w:r>
              <w:rPr>
                <w:bCs/>
                <w:sz w:val="20"/>
                <w:szCs w:val="20"/>
              </w:rPr>
              <w:t>Case 2-3-</w:t>
            </w:r>
            <w:r>
              <w:rPr>
                <w:rFonts w:hint="eastAsia"/>
                <w:bCs/>
                <w:sz w:val="20"/>
                <w:szCs w:val="20"/>
              </w:rPr>
              <w:t>5</w:t>
            </w:r>
          </w:p>
        </w:tc>
        <w:tc>
          <w:tcPr>
            <w:tcW w:w="1147" w:type="dxa"/>
            <w:vAlign w:val="center"/>
          </w:tcPr>
          <w:p>
            <w:pPr>
              <w:snapToGrid w:val="0"/>
              <w:spacing w:before="72" w:beforeLines="30" w:after="72" w:afterLines="30" w:line="288" w:lineRule="auto"/>
              <w:jc w:val="center"/>
              <w:rPr>
                <w:bCs/>
                <w:sz w:val="20"/>
                <w:szCs w:val="20"/>
              </w:rPr>
            </w:pPr>
            <w:r>
              <w:rPr>
                <w:bCs/>
                <w:sz w:val="20"/>
                <w:szCs w:val="20"/>
              </w:rPr>
              <w:t>Non-AI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96.60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93.50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90.53</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86.47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83.67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148" w:type="dxa"/>
            <w:vMerge w:val="continue"/>
            <w:vAlign w:val="center"/>
          </w:tcPr>
          <w:p>
            <w:pPr>
              <w:snapToGrid w:val="0"/>
              <w:spacing w:before="72" w:beforeLines="30" w:after="72" w:afterLines="30" w:line="288" w:lineRule="auto"/>
              <w:jc w:val="center"/>
              <w:rPr>
                <w:bCs/>
                <w:sz w:val="20"/>
                <w:szCs w:val="20"/>
              </w:rPr>
            </w:pPr>
          </w:p>
        </w:tc>
        <w:tc>
          <w:tcPr>
            <w:tcW w:w="1147" w:type="dxa"/>
            <w:vAlign w:val="center"/>
          </w:tcPr>
          <w:p>
            <w:pPr>
              <w:snapToGrid w:val="0"/>
              <w:spacing w:before="72" w:beforeLines="30" w:after="72" w:afterLines="30" w:line="288" w:lineRule="auto"/>
              <w:jc w:val="center"/>
              <w:rPr>
                <w:bCs/>
                <w:sz w:val="20"/>
                <w:szCs w:val="20"/>
              </w:rPr>
            </w:pPr>
            <w:r>
              <w:rPr>
                <w:bCs/>
                <w:sz w:val="20"/>
                <w:szCs w:val="20"/>
              </w:rPr>
              <w:t>AI</w:t>
            </w:r>
          </w:p>
        </w:tc>
        <w:tc>
          <w:tcPr>
            <w:tcW w:w="655" w:type="dxa"/>
            <w:vAlign w:val="center"/>
          </w:tcPr>
          <w:p>
            <w:pPr>
              <w:snapToGrid w:val="0"/>
              <w:spacing w:before="72" w:beforeLines="30" w:after="72" w:afterLines="30" w:line="288" w:lineRule="auto"/>
              <w:jc w:val="center"/>
              <w:rPr>
                <w:bCs/>
                <w:sz w:val="20"/>
                <w:szCs w:val="20"/>
              </w:rPr>
            </w:pPr>
            <w:r>
              <w:rPr>
                <w:bCs/>
                <w:sz w:val="20"/>
                <w:szCs w:val="20"/>
              </w:rPr>
              <w:t>4</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97.40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97.20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97.37</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96.80</w:t>
            </w:r>
          </w:p>
        </w:tc>
        <w:tc>
          <w:tcPr>
            <w:tcW w:w="666" w:type="dxa"/>
            <w:vAlign w:val="center"/>
          </w:tcPr>
          <w:p>
            <w:pPr>
              <w:pStyle w:val="21"/>
              <w:snapToGrid w:val="0"/>
              <w:spacing w:before="72" w:beforeLines="30" w:beforeAutospacing="0" w:after="72" w:afterLines="30" w:afterAutospacing="0" w:line="288" w:lineRule="auto"/>
              <w:rPr>
                <w:rFonts w:ascii="Times New Roman" w:hAnsi="Times New Roman" w:cs="Times New Roman"/>
                <w:sz w:val="20"/>
                <w:szCs w:val="20"/>
              </w:rPr>
            </w:pPr>
            <w:r>
              <w:rPr>
                <w:rFonts w:ascii="Times New Roman" w:hAnsi="Times New Roman" w:cs="Times New Roman"/>
                <w:sz w:val="20"/>
                <w:szCs w:val="20"/>
              </w:rPr>
              <w:t>96.60</w:t>
            </w:r>
          </w:p>
        </w:tc>
      </w:tr>
    </w:tbl>
    <w:p>
      <w:pPr>
        <w:pStyle w:val="117"/>
        <w:spacing w:before="72" w:after="72"/>
        <w:jc w:val="both"/>
        <w:rPr>
          <w:kern w:val="2"/>
          <w:sz w:val="20"/>
          <w:szCs w:val="20"/>
        </w:rPr>
      </w:pPr>
      <w:r>
        <w:rPr>
          <w:rFonts w:hint="eastAsia"/>
          <w:kern w:val="2"/>
          <w:sz w:val="20"/>
          <w:szCs w:val="20"/>
        </w:rPr>
        <w:t xml:space="preserve">In BM-Case2, if the </w:t>
      </w:r>
      <w:r>
        <w:rPr>
          <w:rFonts w:hint="eastAsia"/>
          <w:kern w:val="2"/>
          <w:sz w:val="20"/>
          <w:szCs w:val="20"/>
          <w:lang w:eastAsia="zh-CN"/>
        </w:rPr>
        <w:t xml:space="preserve">AI/ML model </w:t>
      </w:r>
      <w:r>
        <w:rPr>
          <w:rFonts w:hint="eastAsia"/>
          <w:kern w:val="2"/>
          <w:sz w:val="20"/>
          <w:szCs w:val="20"/>
        </w:rPr>
        <w:t xml:space="preserve">is trained with samples of mixed UE speeds, a </w:t>
      </w:r>
      <w:r>
        <w:rPr>
          <w:rFonts w:hint="eastAsia"/>
          <w:kern w:val="2"/>
          <w:sz w:val="20"/>
          <w:szCs w:val="20"/>
          <w:lang w:val="en-US" w:eastAsia="zh-CN"/>
        </w:rPr>
        <w:t xml:space="preserve">minor </w:t>
      </w:r>
      <w:r>
        <w:rPr>
          <w:rFonts w:hint="eastAsia"/>
          <w:kern w:val="2"/>
          <w:sz w:val="20"/>
          <w:szCs w:val="20"/>
        </w:rPr>
        <w:t xml:space="preserve">performance loss is observed as the UE speed in testing samples increases from 30km/h to </w:t>
      </w:r>
      <w:r>
        <w:rPr>
          <w:rFonts w:hint="eastAsia"/>
          <w:kern w:val="2"/>
          <w:sz w:val="20"/>
          <w:szCs w:val="20"/>
          <w:lang w:val="en-US" w:eastAsia="zh-CN"/>
        </w:rPr>
        <w:t>6</w:t>
      </w:r>
      <w:r>
        <w:rPr>
          <w:rFonts w:hint="eastAsia"/>
          <w:kern w:val="2"/>
          <w:sz w:val="20"/>
          <w:szCs w:val="20"/>
        </w:rPr>
        <w:t>0km/h.</w:t>
      </w:r>
    </w:p>
    <w:p>
      <w:pPr>
        <w:pStyle w:val="117"/>
        <w:spacing w:before="72" w:after="72"/>
        <w:jc w:val="both"/>
        <w:rPr>
          <w:kern w:val="2"/>
          <w:sz w:val="20"/>
          <w:szCs w:val="20"/>
        </w:rPr>
      </w:pPr>
      <w:r>
        <w:rPr>
          <w:rFonts w:hint="eastAsia"/>
          <w:kern w:val="2"/>
          <w:sz w:val="20"/>
          <w:szCs w:val="20"/>
        </w:rPr>
        <w:t xml:space="preserve">In BM-Case2, compared with the case that the same UE speed is used for generating the training data samples and the testing data samples, </w:t>
      </w:r>
      <w:r>
        <w:rPr>
          <w:rFonts w:hint="eastAsia"/>
          <w:kern w:val="2"/>
          <w:sz w:val="20"/>
          <w:szCs w:val="20"/>
          <w:lang w:val="en-US" w:eastAsia="zh-CN"/>
        </w:rPr>
        <w:t>a minor performance loss</w:t>
      </w:r>
      <w:r>
        <w:rPr>
          <w:rFonts w:hint="eastAsia"/>
          <w:kern w:val="2"/>
          <w:sz w:val="20"/>
          <w:szCs w:val="20"/>
        </w:rPr>
        <w:t xml:space="preserve"> is observed if both the training data samples and the testing data samples of the </w:t>
      </w:r>
      <w:r>
        <w:rPr>
          <w:rFonts w:hint="eastAsia"/>
          <w:kern w:val="2"/>
          <w:sz w:val="20"/>
          <w:szCs w:val="20"/>
          <w:lang w:eastAsia="zh-CN"/>
        </w:rPr>
        <w:t xml:space="preserve">AI/ML model </w:t>
      </w:r>
      <w:r>
        <w:rPr>
          <w:rFonts w:hint="eastAsia"/>
          <w:kern w:val="2"/>
          <w:sz w:val="20"/>
          <w:szCs w:val="20"/>
        </w:rPr>
        <w:t>are mixed data samples.</w:t>
      </w:r>
    </w:p>
    <w:p>
      <w:pPr>
        <w:snapToGrid w:val="0"/>
        <w:spacing w:before="72" w:beforeLines="30" w:after="72" w:afterLines="30" w:line="288" w:lineRule="auto"/>
        <w:jc w:val="both"/>
        <w:rPr>
          <w:i/>
          <w:iCs/>
          <w:sz w:val="20"/>
          <w:szCs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Conclusions</w:t>
      </w:r>
    </w:p>
    <w:p>
      <w:pPr>
        <w:spacing w:before="72" w:beforeLines="30" w:after="72" w:afterLines="30" w:line="288" w:lineRule="auto"/>
        <w:jc w:val="both"/>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In this contribution, we discuss the potential specification impacts and enhancements for AI/ML based beam management. We have the followin</w:t>
      </w:r>
      <w:bookmarkStart w:id="17" w:name="_GoBack"/>
      <w:bookmarkEnd w:id="17"/>
      <w:r>
        <w:rPr>
          <w:rFonts w:hint="default" w:ascii="Times New Roman" w:hAnsi="Times New Roman" w:eastAsia="Times New Roman" w:cs="Times New Roman"/>
          <w:sz w:val="20"/>
          <w:szCs w:val="20"/>
        </w:rPr>
        <w:t>g observations and proposals.</w:t>
      </w:r>
    </w:p>
    <w:p>
      <w:pPr>
        <w:snapToGrid w:val="0"/>
        <w:spacing w:before="72" w:beforeLines="30" w:after="72" w:afterLines="30" w:line="288" w:lineRule="auto"/>
        <w:jc w:val="both"/>
        <w:rPr>
          <w:rFonts w:hint="default" w:ascii="Times New Roman" w:hAnsi="Times New Roman" w:eastAsia="Times New Roman" w:cs="Times New Roman"/>
          <w:b/>
          <w:bCs/>
          <w:i/>
          <w:iCs/>
          <w:sz w:val="20"/>
          <w:szCs w:val="20"/>
          <w:u w:val="single"/>
          <w:lang w:val="en-GB"/>
        </w:rPr>
      </w:pPr>
      <w:bookmarkStart w:id="16" w:name="OLE_LINK1"/>
      <w:r>
        <w:rPr>
          <w:rFonts w:hint="default" w:ascii="Times New Roman" w:hAnsi="Times New Roman" w:eastAsia="Times New Roman" w:cs="Times New Roman"/>
          <w:b/>
          <w:bCs/>
          <w:i/>
          <w:iCs/>
          <w:sz w:val="20"/>
          <w:szCs w:val="20"/>
          <w:u w:val="single"/>
          <w:lang w:val="en-GB"/>
        </w:rPr>
        <w:t>Observations:</w:t>
      </w:r>
    </w:p>
    <w:p>
      <w:pPr>
        <w:pStyle w:val="117"/>
        <w:keepNext w:val="0"/>
        <w:keepLines w:val="0"/>
        <w:pageBreakBefore w:val="0"/>
        <w:widowControl/>
        <w:numPr>
          <w:numId w:val="16"/>
        </w:numPr>
        <w:kinsoku/>
        <w:wordWrap/>
        <w:overflowPunct/>
        <w:topLinePunct w:val="0"/>
        <w:autoSpaceDE/>
        <w:autoSpaceDN/>
        <w:bidi w:val="0"/>
        <w:adjustRightInd/>
        <w:snapToGrid w:val="0"/>
        <w:spacing w:before="72" w:after="72"/>
        <w:ind w:left="0" w:firstLine="0"/>
        <w:jc w:val="both"/>
        <w:textAlignment w:val="center"/>
        <w:rPr>
          <w:rFonts w:hint="default" w:ascii="Times New Roman" w:hAnsi="Times New Roman" w:cs="Times New Roman"/>
          <w:kern w:val="2"/>
          <w:sz w:val="20"/>
          <w:szCs w:val="20"/>
        </w:rPr>
      </w:pPr>
      <w:r>
        <w:rPr>
          <w:rFonts w:hint="default" w:ascii="Times New Roman" w:hAnsi="Times New Roman" w:cs="Times New Roman"/>
          <w:kern w:val="2"/>
          <w:sz w:val="20"/>
          <w:szCs w:val="20"/>
        </w:rPr>
        <w:t>The spatial</w:t>
      </w:r>
      <w:r>
        <w:rPr>
          <w:rFonts w:hint="default" w:ascii="Times New Roman" w:hAnsi="Times New Roman" w:cs="Times New Roman"/>
          <w:kern w:val="2"/>
          <w:sz w:val="20"/>
          <w:szCs w:val="20"/>
          <w:lang w:val="en-US" w:eastAsia="zh-CN"/>
        </w:rPr>
        <w:t>-</w:t>
      </w:r>
      <w:r>
        <w:rPr>
          <w:rFonts w:hint="default" w:ascii="Times New Roman" w:hAnsi="Times New Roman" w:cs="Times New Roman"/>
          <w:kern w:val="2"/>
          <w:sz w:val="20"/>
          <w:szCs w:val="20"/>
        </w:rPr>
        <w:t>domain beam</w:t>
      </w:r>
      <w:r>
        <w:rPr>
          <w:rFonts w:hint="default" w:ascii="Times New Roman" w:hAnsi="Times New Roman" w:cs="Times New Roman"/>
          <w:kern w:val="2"/>
          <w:sz w:val="20"/>
          <w:szCs w:val="20"/>
          <w:lang w:val="en-US" w:eastAsia="zh-CN"/>
        </w:rPr>
        <w:t xml:space="preserve"> pair</w:t>
      </w:r>
      <w:r>
        <w:rPr>
          <w:rFonts w:hint="default" w:ascii="Times New Roman" w:hAnsi="Times New Roman" w:cs="Times New Roman"/>
          <w:kern w:val="2"/>
          <w:sz w:val="20"/>
          <w:szCs w:val="20"/>
        </w:rPr>
        <w:t xml:space="preserve"> prediction with a fixed beam pattern achieves a sufficiently high performance with only 25% beam overhead being used.</w:t>
      </w:r>
    </w:p>
    <w:p>
      <w:pPr>
        <w:pStyle w:val="117"/>
        <w:keepNext w:val="0"/>
        <w:keepLines w:val="0"/>
        <w:pageBreakBefore w:val="0"/>
        <w:widowControl/>
        <w:numPr>
          <w:ilvl w:val="0"/>
          <w:numId w:val="16"/>
        </w:numPr>
        <w:kinsoku/>
        <w:wordWrap/>
        <w:overflowPunct/>
        <w:topLinePunct w:val="0"/>
        <w:autoSpaceDE/>
        <w:autoSpaceDN/>
        <w:bidi w:val="0"/>
        <w:adjustRightInd/>
        <w:snapToGrid w:val="0"/>
        <w:spacing w:before="72" w:after="72"/>
        <w:ind w:left="0" w:firstLine="0"/>
        <w:jc w:val="both"/>
        <w:textAlignment w:val="center"/>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With the same sampling rate on the whole beam space, Case 1-1-2 (without </w:t>
      </w:r>
      <w:r>
        <w:rPr>
          <w:rFonts w:hint="default" w:ascii="Times New Roman" w:hAnsi="Times New Roman" w:cs="Times New Roman"/>
          <w:kern w:val="2"/>
          <w:sz w:val="20"/>
          <w:szCs w:val="20"/>
          <w:lang w:val="en-US" w:eastAsia="zh-CN"/>
        </w:rPr>
        <w:t xml:space="preserve">down </w:t>
      </w:r>
      <w:r>
        <w:rPr>
          <w:rFonts w:hint="default" w:ascii="Times New Roman" w:hAnsi="Times New Roman" w:cs="Times New Roman"/>
          <w:kern w:val="2"/>
          <w:sz w:val="20"/>
          <w:szCs w:val="20"/>
        </w:rPr>
        <w:t xml:space="preserve">sampling </w:t>
      </w:r>
      <w:r>
        <w:rPr>
          <w:rFonts w:hint="default" w:ascii="Times New Roman" w:hAnsi="Times New Roman" w:cs="Times New Roman"/>
          <w:kern w:val="2"/>
          <w:sz w:val="20"/>
          <w:szCs w:val="20"/>
          <w:lang w:val="en-US" w:eastAsia="zh-CN"/>
        </w:rPr>
        <w:t xml:space="preserve">in the </w:t>
      </w:r>
      <w:r>
        <w:rPr>
          <w:rFonts w:hint="default" w:ascii="Times New Roman" w:hAnsi="Times New Roman" w:cs="Times New Roman"/>
          <w:kern w:val="2"/>
          <w:sz w:val="20"/>
          <w:szCs w:val="20"/>
        </w:rPr>
        <w:t xml:space="preserve">Rx beam space) obtains a better performance than Case 1-1-1 (with </w:t>
      </w:r>
      <w:r>
        <w:rPr>
          <w:rFonts w:hint="default" w:ascii="Times New Roman" w:hAnsi="Times New Roman" w:cs="Times New Roman"/>
          <w:kern w:val="2"/>
          <w:sz w:val="20"/>
          <w:szCs w:val="20"/>
          <w:lang w:val="en-US" w:eastAsia="zh-CN"/>
        </w:rPr>
        <w:t xml:space="preserve">down </w:t>
      </w:r>
      <w:r>
        <w:rPr>
          <w:rFonts w:hint="default" w:ascii="Times New Roman" w:hAnsi="Times New Roman" w:cs="Times New Roman"/>
          <w:kern w:val="2"/>
          <w:sz w:val="20"/>
          <w:szCs w:val="20"/>
        </w:rPr>
        <w:t xml:space="preserve">sampling </w:t>
      </w:r>
      <w:r>
        <w:rPr>
          <w:rFonts w:hint="default" w:ascii="Times New Roman" w:hAnsi="Times New Roman" w:cs="Times New Roman"/>
          <w:kern w:val="2"/>
          <w:sz w:val="20"/>
          <w:szCs w:val="20"/>
          <w:lang w:val="en-US" w:eastAsia="zh-CN"/>
        </w:rPr>
        <w:t xml:space="preserve">in the </w:t>
      </w:r>
      <w:r>
        <w:rPr>
          <w:rFonts w:hint="default" w:ascii="Times New Roman" w:hAnsi="Times New Roman" w:cs="Times New Roman"/>
          <w:kern w:val="2"/>
          <w:sz w:val="20"/>
          <w:szCs w:val="20"/>
        </w:rPr>
        <w:t>Rx beam space).</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DL Tx beam prediction, </w:t>
      </w:r>
      <w:r>
        <w:rPr>
          <w:rFonts w:hint="default" w:ascii="Times New Roman" w:hAnsi="Times New Roman" w:cs="Times New Roman"/>
          <w:kern w:val="2"/>
          <w:sz w:val="20"/>
          <w:szCs w:val="20"/>
          <w:lang w:val="en-US" w:eastAsia="zh-CN"/>
        </w:rPr>
        <w:t>compared with the Rx beam assumption that the best Rx beam searched for one Tx beam within Set B is used, a better beam prediction performance is achieved if the best Rx beam for the best Tx beam within Set B is used for measurement.</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lang w:val="en-US" w:eastAsia="zh-CN"/>
        </w:rPr>
        <w:t>Among all Rx beam assumptions for Tx beam prediction, the best</w:t>
      </w:r>
      <w:r>
        <w:rPr>
          <w:rFonts w:hint="default" w:ascii="Times New Roman" w:hAnsi="Times New Roman" w:cs="Times New Roman"/>
          <w:kern w:val="2"/>
          <w:sz w:val="20"/>
          <w:szCs w:val="20"/>
        </w:rPr>
        <w:t xml:space="preserve"> performance</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kern w:val="2"/>
          <w:sz w:val="20"/>
          <w:szCs w:val="20"/>
        </w:rPr>
        <w:t xml:space="preserve">can be achieved by measurements of the best Rx beam for the best Tx beam within Set </w:t>
      </w:r>
      <w:r>
        <w:rPr>
          <w:rFonts w:hint="default" w:ascii="Times New Roman" w:hAnsi="Times New Roman" w:cs="Times New Roman"/>
          <w:kern w:val="2"/>
          <w:sz w:val="20"/>
          <w:szCs w:val="20"/>
          <w:lang w:val="en-US" w:eastAsia="zh-CN"/>
        </w:rPr>
        <w:t>A</w:t>
      </w:r>
      <w:r>
        <w:rPr>
          <w:rFonts w:hint="default" w:ascii="Times New Roman" w:hAnsi="Times New Roman" w:cs="Times New Roman"/>
          <w:kern w:val="2"/>
          <w:sz w:val="20"/>
          <w:szCs w:val="20"/>
        </w:rPr>
        <w:t xml:space="preserve"> (i.e., Case 1-2-</w:t>
      </w:r>
      <w:r>
        <w:rPr>
          <w:rFonts w:hint="default" w:ascii="Times New Roman" w:hAnsi="Times New Roman" w:cs="Times New Roman"/>
          <w:kern w:val="2"/>
          <w:sz w:val="20"/>
          <w:szCs w:val="20"/>
          <w:lang w:val="en-US" w:eastAsia="zh-CN"/>
        </w:rPr>
        <w:t>3</w:t>
      </w:r>
      <w:r>
        <w:rPr>
          <w:rFonts w:hint="default" w:ascii="Times New Roman" w:hAnsi="Times New Roman" w:cs="Times New Roman"/>
          <w:kern w:val="2"/>
          <w:sz w:val="20"/>
          <w:szCs w:val="20"/>
        </w:rPr>
        <w:t>)</w:t>
      </w:r>
      <w:r>
        <w:rPr>
          <w:rFonts w:hint="default" w:ascii="Times New Roman" w:hAnsi="Times New Roman" w:cs="Times New Roman"/>
          <w:kern w:val="2"/>
          <w:sz w:val="20"/>
          <w:szCs w:val="20"/>
          <w:lang w:val="en-US" w:eastAsia="zh-CN"/>
        </w:rPr>
        <w:t>, which can be an upper bound on DL Tx beam prediction performance</w:t>
      </w:r>
      <w:r>
        <w:rPr>
          <w:rFonts w:hint="default" w:ascii="Times New Roman" w:hAnsi="Times New Roman" w:cs="Times New Roman"/>
          <w:kern w:val="2"/>
          <w:sz w:val="20"/>
          <w:szCs w:val="20"/>
        </w:rPr>
        <w:t>.</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lang w:val="en-US" w:eastAsia="zh-CN"/>
        </w:rPr>
        <w:t xml:space="preserve">The realistic determination of quasi-optimal Rx beam causes a significant performance loss compared with that of the best Rx beam assumption, where </w:t>
      </w:r>
      <w:r>
        <w:rPr>
          <w:rFonts w:hint="default" w:ascii="Times New Roman" w:hAnsi="Times New Roman" w:cs="Times New Roman"/>
          <w:kern w:val="2"/>
          <w:sz w:val="20"/>
          <w:szCs w:val="20"/>
        </w:rPr>
        <w:t>the quasi-optimal Rx beam</w:t>
      </w:r>
      <w:r>
        <w:rPr>
          <w:rFonts w:hint="default" w:ascii="Times New Roman" w:hAnsi="Times New Roman" w:cs="Times New Roman"/>
          <w:kern w:val="2"/>
          <w:sz w:val="20"/>
          <w:szCs w:val="20"/>
          <w:lang w:val="en-US"/>
        </w:rPr>
        <w:t xml:space="preserve"> </w:t>
      </w:r>
      <w:r>
        <w:rPr>
          <w:rFonts w:hint="default" w:ascii="Times New Roman" w:hAnsi="Times New Roman" w:cs="Times New Roman"/>
          <w:kern w:val="2"/>
          <w:sz w:val="20"/>
          <w:szCs w:val="20"/>
          <w:lang w:val="en-US" w:eastAsia="zh-CN"/>
        </w:rPr>
        <w:t xml:space="preserve">consists </w:t>
      </w:r>
      <w:r>
        <w:rPr>
          <w:rFonts w:hint="default" w:ascii="Times New Roman" w:hAnsi="Times New Roman" w:cs="Times New Roman"/>
          <w:kern w:val="2"/>
          <w:sz w:val="20"/>
          <w:szCs w:val="20"/>
          <w:lang w:val="en-US"/>
        </w:rPr>
        <w:t xml:space="preserve">of </w:t>
      </w:r>
      <w:r>
        <w:rPr>
          <w:rFonts w:hint="default" w:ascii="Times New Roman" w:hAnsi="Times New Roman" w:cs="Times New Roman"/>
          <w:kern w:val="2"/>
          <w:sz w:val="20"/>
          <w:szCs w:val="20"/>
          <w:lang w:val="en-US" w:eastAsia="zh-CN"/>
        </w:rPr>
        <w:t>X</w:t>
      </w:r>
      <w:r>
        <w:rPr>
          <w:rFonts w:hint="default" w:ascii="Times New Roman" w:hAnsi="Times New Roman" w:cs="Times New Roman"/>
          <w:kern w:val="2"/>
          <w:sz w:val="20"/>
          <w:szCs w:val="20"/>
          <w:lang w:val="en-US"/>
        </w:rPr>
        <w:t xml:space="preserve">% </w:t>
      </w:r>
      <w:r>
        <w:rPr>
          <w:rFonts w:hint="default" w:ascii="Times New Roman" w:hAnsi="Times New Roman" w:cs="Times New Roman"/>
          <w:kern w:val="2"/>
          <w:sz w:val="20"/>
          <w:szCs w:val="20"/>
          <w:lang w:val="en-US" w:eastAsia="zh-CN"/>
        </w:rPr>
        <w:t xml:space="preserve">(X=80 or 90) </w:t>
      </w:r>
      <w:r>
        <w:rPr>
          <w:rFonts w:hint="default" w:ascii="Times New Roman" w:hAnsi="Times New Roman" w:cs="Times New Roman"/>
          <w:kern w:val="2"/>
          <w:sz w:val="20"/>
          <w:szCs w:val="20"/>
          <w:lang w:val="en-US"/>
        </w:rPr>
        <w:t xml:space="preserve">of “best” Rx beam </w:t>
      </w:r>
      <w:r>
        <w:rPr>
          <w:rFonts w:hint="default" w:ascii="Times New Roman" w:hAnsi="Times New Roman" w:cs="Times New Roman"/>
          <w:kern w:val="2"/>
          <w:sz w:val="20"/>
          <w:szCs w:val="20"/>
          <w:lang w:val="en-US" w:eastAsia="zh-CN"/>
        </w:rPr>
        <w:t xml:space="preserve">by </w:t>
      </w:r>
      <w:r>
        <w:rPr>
          <w:rFonts w:hint="default" w:ascii="Times New Roman" w:hAnsi="Times New Roman" w:cs="Times New Roman"/>
          <w:kern w:val="2"/>
          <w:sz w:val="20"/>
          <w:szCs w:val="20"/>
          <w:lang w:val="en-US"/>
        </w:rPr>
        <w:t xml:space="preserve">exhaustive Rx beam sweeping and </w:t>
      </w:r>
      <w:r>
        <w:rPr>
          <w:rFonts w:hint="default" w:ascii="Times New Roman" w:hAnsi="Times New Roman" w:cs="Times New Roman"/>
          <w:kern w:val="2"/>
          <w:sz w:val="20"/>
          <w:szCs w:val="20"/>
          <w:lang w:val="en-US" w:eastAsia="zh-CN"/>
        </w:rPr>
        <w:t>(1-X) %</w:t>
      </w:r>
      <w:r>
        <w:rPr>
          <w:rFonts w:hint="default" w:ascii="Times New Roman" w:hAnsi="Times New Roman" w:cs="Times New Roman"/>
          <w:kern w:val="2"/>
          <w:sz w:val="20"/>
          <w:szCs w:val="20"/>
          <w:lang w:val="en-US"/>
        </w:rPr>
        <w:t xml:space="preserve"> of random Rx beams</w:t>
      </w:r>
      <w:r>
        <w:rPr>
          <w:rFonts w:hint="default" w:ascii="Times New Roman" w:hAnsi="Times New Roman" w:cs="Times New Roman"/>
          <w:kern w:val="2"/>
          <w:sz w:val="20"/>
          <w:szCs w:val="20"/>
          <w:lang w:val="en-US" w:eastAsia="zh-CN"/>
        </w:rPr>
        <w:t>.</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lang w:val="en-US" w:eastAsia="zh-CN"/>
        </w:rPr>
        <w:t>For DL Tx beam prediction based on a</w:t>
      </w:r>
      <w:r>
        <w:rPr>
          <w:rFonts w:hint="default" w:ascii="Times New Roman" w:hAnsi="Times New Roman" w:cs="Times New Roman"/>
          <w:kern w:val="2"/>
          <w:sz w:val="20"/>
          <w:szCs w:val="20"/>
        </w:rPr>
        <w:t xml:space="preserve"> </w:t>
      </w:r>
      <w:r>
        <w:rPr>
          <w:rFonts w:hint="default" w:ascii="Times New Roman" w:hAnsi="Times New Roman" w:cs="Times New Roman"/>
          <w:kern w:val="2"/>
          <w:sz w:val="20"/>
          <w:szCs w:val="20"/>
          <w:lang w:val="en-US" w:eastAsia="zh-CN"/>
        </w:rPr>
        <w:t xml:space="preserve">specific </w:t>
      </w:r>
      <w:r>
        <w:rPr>
          <w:rFonts w:hint="default" w:ascii="Times New Roman" w:hAnsi="Times New Roman" w:cs="Times New Roman"/>
          <w:kern w:val="2"/>
          <w:sz w:val="20"/>
          <w:szCs w:val="20"/>
        </w:rPr>
        <w:t xml:space="preserve">Rx beam assumption, Option 2a (i.e., measurements of specific Rx beam(s) per model input sample) and Option 2b (i.e., measurements of specific Rx beam(s) for all model input samples) </w:t>
      </w:r>
      <w:r>
        <w:rPr>
          <w:rFonts w:hint="default" w:ascii="Times New Roman" w:hAnsi="Times New Roman" w:cs="Times New Roman"/>
          <w:kern w:val="2"/>
          <w:sz w:val="20"/>
          <w:szCs w:val="20"/>
          <w:lang w:val="en-US" w:eastAsia="zh-CN"/>
        </w:rPr>
        <w:t xml:space="preserve">show </w:t>
      </w:r>
      <w:r>
        <w:rPr>
          <w:rFonts w:hint="default" w:ascii="Times New Roman" w:hAnsi="Times New Roman" w:cs="Times New Roman"/>
          <w:kern w:val="2"/>
          <w:sz w:val="20"/>
          <w:szCs w:val="20"/>
        </w:rPr>
        <w:t xml:space="preserve">similar </w:t>
      </w:r>
      <w:r>
        <w:rPr>
          <w:rFonts w:hint="default" w:ascii="Times New Roman" w:hAnsi="Times New Roman" w:cs="Times New Roman"/>
          <w:kern w:val="2"/>
          <w:sz w:val="20"/>
          <w:szCs w:val="20"/>
          <w:lang w:val="en-US" w:eastAsia="zh-CN"/>
        </w:rPr>
        <w:t>beam prediction accuracy</w:t>
      </w:r>
      <w:r>
        <w:rPr>
          <w:rFonts w:hint="default" w:ascii="Times New Roman" w:hAnsi="Times New Roman" w:cs="Times New Roman"/>
          <w:kern w:val="2"/>
          <w:sz w:val="20"/>
          <w:szCs w:val="20"/>
        </w:rPr>
        <w:t>.</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Tx-Rx beam pair prediction and DL Tx beam prediction, similar beam prediction performance is achieved with different </w:t>
      </w:r>
      <w:r>
        <w:rPr>
          <w:rFonts w:hint="default" w:ascii="Times New Roman" w:hAnsi="Times New Roman" w:cs="Times New Roman"/>
          <w:kern w:val="2"/>
          <w:sz w:val="20"/>
          <w:szCs w:val="20"/>
          <w:lang w:val="en-US" w:eastAsia="zh-CN"/>
        </w:rPr>
        <w:t xml:space="preserve">uniform </w:t>
      </w:r>
      <w:r>
        <w:rPr>
          <w:rFonts w:hint="default" w:ascii="Times New Roman" w:hAnsi="Times New Roman" w:cs="Times New Roman"/>
          <w:kern w:val="2"/>
          <w:sz w:val="20"/>
          <w:szCs w:val="20"/>
        </w:rPr>
        <w:t xml:space="preserve">Set B patterns in the same sampling rate if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generalization is not considered.</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DL Tx beam prediction, a high performance is achieved with Set B patterns 4/5/6 in a sampling rate of 12.5%, where the beam prediction accuracy for Top-5 beams is above 97%.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DL Tx beam prediction, marginal performance loss is observed when 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inputs are Top 8 beams or Top 4 beams from the 16 measured beams compared with all measured beams are used as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input.</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Tx-Rx beam pair prediction, significant performance loss is observed when 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inputs are Top 8 beams or Top 4 beams from the 128 measured beams. </w:t>
      </w:r>
    </w:p>
    <w:p>
      <w:pPr>
        <w:pStyle w:val="117"/>
        <w:spacing w:before="72" w:after="72"/>
        <w:jc w:val="both"/>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Reporting Top-K (K=4 or 8) beams with larger RSRPs from all beams in the measured beam set achieves a good trade-off between beam prediction accuracy and UCI payload overhead.</w:t>
      </w:r>
    </w:p>
    <w:p>
      <w:pPr>
        <w:pStyle w:val="117"/>
        <w:spacing w:before="72" w:after="72"/>
        <w:jc w:val="both"/>
        <w:rPr>
          <w:rFonts w:hint="default" w:ascii="Times New Roman" w:hAnsi="Times New Roman" w:cs="Times New Roman"/>
          <w:sz w:val="20"/>
          <w:szCs w:val="20"/>
        </w:rPr>
      </w:pPr>
      <w:r>
        <w:rPr>
          <w:rFonts w:hint="default" w:ascii="Times New Roman" w:hAnsi="Times New Roman" w:cs="Times New Roman"/>
          <w:kern w:val="2"/>
          <w:sz w:val="20"/>
          <w:szCs w:val="20"/>
          <w:lang w:val="en-US" w:eastAsia="zh-CN"/>
        </w:rPr>
        <w:t>If Set B equals to the measured beam set (i.e., Set C), the t</w:t>
      </w:r>
      <w:r>
        <w:rPr>
          <w:rFonts w:hint="default" w:ascii="Times New Roman" w:hAnsi="Times New Roman" w:cs="Times New Roman"/>
          <w:kern w:val="2"/>
          <w:sz w:val="20"/>
          <w:szCs w:val="20"/>
        </w:rPr>
        <w:t>otal UCI payload size</w:t>
      </w:r>
      <w:r>
        <w:rPr>
          <w:rFonts w:hint="default" w:ascii="Times New Roman" w:hAnsi="Times New Roman" w:cs="Times New Roman"/>
          <w:kern w:val="2"/>
          <w:sz w:val="20"/>
          <w:szCs w:val="20"/>
          <w:lang w:val="en-US" w:eastAsia="zh-CN"/>
        </w:rPr>
        <w:t xml:space="preserve"> can be greatly reduced by reporting all measured RSRPs in Set B and the beam index associated with the largest RSRP.</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The case that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training and testing are performed in mixed datasets </w:t>
      </w:r>
      <w:r>
        <w:rPr>
          <w:rFonts w:hint="default" w:ascii="Times New Roman" w:hAnsi="Times New Roman" w:cs="Times New Roman"/>
          <w:kern w:val="2"/>
          <w:sz w:val="20"/>
          <w:szCs w:val="20"/>
          <w:lang w:val="en-US" w:eastAsia="zh-CN"/>
        </w:rPr>
        <w:t xml:space="preserve">of </w:t>
      </w:r>
      <w:r>
        <w:rPr>
          <w:rFonts w:hint="default" w:ascii="Times New Roman" w:hAnsi="Times New Roman" w:cs="Times New Roman"/>
          <w:kern w:val="2"/>
          <w:sz w:val="20"/>
          <w:szCs w:val="20"/>
        </w:rPr>
        <w:t>&lt;T8 R1&gt;</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kern w:val="2"/>
          <w:sz w:val="20"/>
          <w:szCs w:val="20"/>
        </w:rPr>
        <w:t>&lt;T</w:t>
      </w:r>
      <w:r>
        <w:rPr>
          <w:rFonts w:hint="default" w:ascii="Times New Roman" w:hAnsi="Times New Roman" w:cs="Times New Roman"/>
          <w:kern w:val="2"/>
          <w:sz w:val="20"/>
          <w:szCs w:val="20"/>
          <w:lang w:val="en-US" w:eastAsia="zh-CN"/>
        </w:rPr>
        <w:t>16</w:t>
      </w:r>
      <w:r>
        <w:rPr>
          <w:rFonts w:hint="default" w:ascii="Times New Roman" w:hAnsi="Times New Roman" w:cs="Times New Roman"/>
          <w:kern w:val="2"/>
          <w:sz w:val="20"/>
          <w:szCs w:val="20"/>
        </w:rPr>
        <w:t xml:space="preserve"> R1&gt;</w:t>
      </w:r>
      <w:r>
        <w:rPr>
          <w:rFonts w:hint="default" w:ascii="Times New Roman" w:hAnsi="Times New Roman" w:cs="Times New Roman"/>
          <w:kern w:val="2"/>
          <w:sz w:val="20"/>
          <w:szCs w:val="20"/>
          <w:lang w:val="en-US" w:eastAsia="zh-CN"/>
        </w:rPr>
        <w:t xml:space="preserve">, and </w:t>
      </w:r>
      <w:r>
        <w:rPr>
          <w:rFonts w:hint="default" w:ascii="Times New Roman" w:hAnsi="Times New Roman" w:cs="Times New Roman"/>
          <w:kern w:val="2"/>
          <w:sz w:val="20"/>
          <w:szCs w:val="20"/>
        </w:rPr>
        <w:t>&lt;T</w:t>
      </w:r>
      <w:r>
        <w:rPr>
          <w:rFonts w:hint="default" w:ascii="Times New Roman" w:hAnsi="Times New Roman" w:cs="Times New Roman"/>
          <w:kern w:val="2"/>
          <w:sz w:val="20"/>
          <w:szCs w:val="20"/>
          <w:lang w:val="en-US" w:eastAsia="zh-CN"/>
        </w:rPr>
        <w:t>32</w:t>
      </w:r>
      <w:r>
        <w:rPr>
          <w:rFonts w:hint="default" w:ascii="Times New Roman" w:hAnsi="Times New Roman" w:cs="Times New Roman"/>
          <w:kern w:val="2"/>
          <w:sz w:val="20"/>
          <w:szCs w:val="20"/>
        </w:rPr>
        <w:t xml:space="preserve"> R1&gt;</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kern w:val="2"/>
          <w:sz w:val="20"/>
          <w:szCs w:val="20"/>
        </w:rPr>
        <w:t>with different beam constructions achieve</w:t>
      </w:r>
      <w:r>
        <w:rPr>
          <w:rFonts w:hint="default" w:ascii="Times New Roman" w:hAnsi="Times New Roman" w:cs="Times New Roman"/>
          <w:kern w:val="2"/>
          <w:sz w:val="20"/>
          <w:szCs w:val="20"/>
          <w:lang w:val="en-US" w:eastAsia="zh-CN"/>
        </w:rPr>
        <w:t>s</w:t>
      </w:r>
      <w:r>
        <w:rPr>
          <w:rFonts w:hint="default" w:ascii="Times New Roman" w:hAnsi="Times New Roman" w:cs="Times New Roman"/>
          <w:kern w:val="2"/>
          <w:sz w:val="20"/>
          <w:szCs w:val="20"/>
        </w:rPr>
        <w:t xml:space="preserve"> a better performance than that of the case of &lt;T8 R1&gt;, but is outperformed by the case of &lt;T32 R1&gt;.</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can provide a good generalization capability on different </w:t>
      </w:r>
      <w:r>
        <w:rPr>
          <w:rFonts w:hint="default" w:ascii="Times New Roman" w:hAnsi="Times New Roman" w:cs="Times New Roman"/>
          <w:kern w:val="2"/>
          <w:sz w:val="20"/>
          <w:szCs w:val="20"/>
          <w:lang w:val="en-US" w:eastAsia="zh-CN"/>
        </w:rPr>
        <w:t xml:space="preserve">number of </w:t>
      </w:r>
      <w:r>
        <w:rPr>
          <w:rFonts w:hint="default" w:ascii="Times New Roman" w:hAnsi="Times New Roman" w:cs="Times New Roman"/>
          <w:kern w:val="2"/>
          <w:sz w:val="20"/>
          <w:szCs w:val="20"/>
        </w:rPr>
        <w:t>beam</w:t>
      </w:r>
      <w:r>
        <w:rPr>
          <w:rFonts w:hint="default" w:ascii="Times New Roman" w:hAnsi="Times New Roman" w:cs="Times New Roman"/>
          <w:kern w:val="2"/>
          <w:sz w:val="20"/>
          <w:szCs w:val="20"/>
          <w:lang w:val="en-US" w:eastAsia="zh-CN"/>
        </w:rPr>
        <w:t>s</w:t>
      </w:r>
      <w:r>
        <w:rPr>
          <w:rFonts w:hint="default" w:ascii="Times New Roman" w:hAnsi="Times New Roman" w:cs="Times New Roman"/>
          <w:kern w:val="2"/>
          <w:sz w:val="20"/>
          <w:szCs w:val="20"/>
        </w:rPr>
        <w:t xml:space="preserve"> </w:t>
      </w:r>
      <w:r>
        <w:rPr>
          <w:rFonts w:hint="default" w:ascii="Times New Roman" w:hAnsi="Times New Roman" w:cs="Times New Roman"/>
          <w:kern w:val="2"/>
          <w:sz w:val="20"/>
          <w:szCs w:val="20"/>
          <w:lang w:val="en-US" w:eastAsia="zh-CN"/>
        </w:rPr>
        <w:t>in Set B</w:t>
      </w:r>
      <w:r>
        <w:rPr>
          <w:rFonts w:hint="default" w:ascii="Times New Roman" w:hAnsi="Times New Roman" w:cs="Times New Roman"/>
          <w:kern w:val="2"/>
          <w:sz w:val="20"/>
          <w:szCs w:val="20"/>
        </w:rPr>
        <w:t xml:space="preserve"> for Tx beam prediction</w:t>
      </w:r>
      <w:r>
        <w:rPr>
          <w:rFonts w:hint="default" w:ascii="Times New Roman" w:hAnsi="Times New Roman" w:cs="Times New Roman"/>
          <w:kern w:val="2"/>
          <w:sz w:val="20"/>
          <w:szCs w:val="20"/>
          <w:lang w:val="en-US" w:eastAsia="zh-CN"/>
        </w:rPr>
        <w:t>,</w:t>
      </w:r>
      <w:r>
        <w:rPr>
          <w:rFonts w:hint="default" w:ascii="Times New Roman" w:hAnsi="Times New Roman" w:cs="Times New Roman"/>
          <w:kern w:val="2"/>
          <w:sz w:val="20"/>
          <w:szCs w:val="20"/>
        </w:rPr>
        <w:t xml:space="preserve"> when the training dataset includes the data from the same setting of test</w:t>
      </w:r>
      <w:r>
        <w:rPr>
          <w:rFonts w:hint="default" w:ascii="Times New Roman" w:hAnsi="Times New Roman" w:cs="Times New Roman"/>
          <w:kern w:val="2"/>
          <w:sz w:val="20"/>
          <w:szCs w:val="20"/>
          <w:lang w:val="en-US" w:eastAsia="zh-CN"/>
        </w:rPr>
        <w:t>ing</w:t>
      </w:r>
      <w:r>
        <w:rPr>
          <w:rFonts w:hint="default" w:ascii="Times New Roman" w:hAnsi="Times New Roman" w:cs="Times New Roman"/>
          <w:kern w:val="2"/>
          <w:sz w:val="20"/>
          <w:szCs w:val="20"/>
        </w:rPr>
        <w:t xml:space="preserve"> data.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generalization on different Set B patterns, if the Set B pattern of the testing data samples is different from that of the training data samples, a significant performance loss compared with the non-AI case is observed.</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generalization on different Set B patterns, if the Set B pattern of the testing data samples is included in the beam patterns of the training data samples, or the same Set B pattern is used during 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training phase and testing phase, the AI method obtains significant performance gains over the non-AI case.</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can provide a good generalization capability on different </w:t>
      </w:r>
      <w:r>
        <w:rPr>
          <w:rFonts w:hint="default" w:ascii="Times New Roman" w:hAnsi="Times New Roman" w:cs="Times New Roman"/>
          <w:kern w:val="2"/>
          <w:sz w:val="20"/>
          <w:szCs w:val="20"/>
          <w:lang w:val="en-US" w:eastAsia="zh-CN"/>
        </w:rPr>
        <w:t>Set B</w:t>
      </w:r>
      <w:r>
        <w:rPr>
          <w:rFonts w:hint="default" w:ascii="Times New Roman" w:hAnsi="Times New Roman" w:cs="Times New Roman"/>
          <w:kern w:val="2"/>
          <w:sz w:val="20"/>
          <w:szCs w:val="20"/>
        </w:rPr>
        <w:t xml:space="preserve"> </w:t>
      </w:r>
      <w:r>
        <w:rPr>
          <w:rFonts w:hint="default" w:ascii="Times New Roman" w:hAnsi="Times New Roman" w:cs="Times New Roman"/>
          <w:kern w:val="2"/>
          <w:sz w:val="20"/>
          <w:szCs w:val="20"/>
          <w:lang w:val="en-US" w:eastAsia="zh-CN"/>
        </w:rPr>
        <w:t xml:space="preserve">patterns </w:t>
      </w:r>
      <w:r>
        <w:rPr>
          <w:rFonts w:hint="default" w:ascii="Times New Roman" w:hAnsi="Times New Roman" w:cs="Times New Roman"/>
          <w:kern w:val="2"/>
          <w:sz w:val="20"/>
          <w:szCs w:val="20"/>
        </w:rPr>
        <w:t>for Tx beam prediction when the training dataset includes the data from the same setting of test</w:t>
      </w:r>
      <w:r>
        <w:rPr>
          <w:rFonts w:hint="default" w:ascii="Times New Roman" w:hAnsi="Times New Roman" w:cs="Times New Roman"/>
          <w:kern w:val="2"/>
          <w:sz w:val="20"/>
          <w:szCs w:val="20"/>
          <w:lang w:val="en-US" w:eastAsia="zh-CN"/>
        </w:rPr>
        <w:t>ing</w:t>
      </w:r>
      <w:r>
        <w:rPr>
          <w:rFonts w:hint="default" w:ascii="Times New Roman" w:hAnsi="Times New Roman" w:cs="Times New Roman"/>
          <w:kern w:val="2"/>
          <w:sz w:val="20"/>
          <w:szCs w:val="20"/>
        </w:rPr>
        <w:t xml:space="preserve"> data.</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generalization on different Rx beam assumptions for Tx beam prediction, compared with the case that the training data samples and testing data samples are generated based on the same Rx beam assumption, only marginal performance loss is observed for the case of different Rx beam assumptions on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training and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testing.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can provide good generalization capability on different Rx beam assumptions for Tx beam prediction.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generalization on different gNB settings, a significant performance loss is observed if the training data samples and the testing data samples are generated under different gNB beam structures.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Compared with the case that the same gNB beam structure is used for generating the training data samples and the testing data samples, only marginal performance loss is observed if the training data samples of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inclue mixed data samples from both gNB beam </w:t>
      </w:r>
      <w:r>
        <w:rPr>
          <w:rFonts w:hint="default" w:ascii="Times New Roman" w:hAnsi="Times New Roman" w:cs="Times New Roman"/>
          <w:kern w:val="2"/>
          <w:sz w:val="20"/>
          <w:szCs w:val="20"/>
          <w:lang w:val="en-US" w:eastAsia="zh-CN"/>
        </w:rPr>
        <w:t>layouts</w:t>
      </w:r>
      <w:r>
        <w:rPr>
          <w:rFonts w:hint="default" w:ascii="Times New Roman" w:hAnsi="Times New Roman" w:cs="Times New Roman"/>
          <w:kern w:val="2"/>
          <w:sz w:val="20"/>
          <w:szCs w:val="20"/>
        </w:rPr>
        <w:t xml:space="preserve">.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training and testing.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can provide good generalization capability on different number of UE Rx beams for beam pair prediction.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eastAsia="宋体" w:cs="Times New Roman"/>
          <w:sz w:val="20"/>
          <w:szCs w:val="20"/>
          <w:lang w:val="en-US" w:eastAsia="zh-CN"/>
        </w:rPr>
        <w:t>The AI/ML model can achieve a better beam prediction performance with UE distribution</w:t>
      </w:r>
      <w:r>
        <w:rPr>
          <w:rFonts w:hint="default" w:ascii="Times New Roman" w:hAnsi="Times New Roman" w:cs="Times New Roman"/>
          <w:sz w:val="20"/>
          <w:szCs w:val="20"/>
          <w:lang w:val="en-US" w:eastAsia="zh-CN"/>
        </w:rPr>
        <w:t xml:space="preserve"> of </w:t>
      </w:r>
      <w:r>
        <w:rPr>
          <w:rFonts w:hint="default" w:ascii="Times New Roman" w:hAnsi="Times New Roman" w:eastAsia="宋体" w:cs="Times New Roman"/>
          <w:sz w:val="20"/>
          <w:szCs w:val="20"/>
          <w:lang w:val="en-US" w:eastAsia="zh-CN"/>
        </w:rPr>
        <w:t>100% outdoor than with UE distribution of 80% indoor and 20% outdoor.</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lang w:val="en-US" w:eastAsia="zh-CN"/>
        </w:rPr>
        <w:t>T</w:t>
      </w:r>
      <w:r>
        <w:rPr>
          <w:rFonts w:hint="default" w:ascii="Times New Roman" w:hAnsi="Times New Roman" w:cs="Times New Roman"/>
          <w:kern w:val="2"/>
          <w:sz w:val="20"/>
          <w:szCs w:val="20"/>
        </w:rPr>
        <w:t>he AI</w:t>
      </w:r>
      <w:r>
        <w:rPr>
          <w:rFonts w:hint="default" w:ascii="Times New Roman" w:hAnsi="Times New Roman" w:cs="Times New Roman"/>
          <w:kern w:val="2"/>
          <w:sz w:val="20"/>
          <w:szCs w:val="20"/>
          <w:lang w:val="en-US" w:eastAsia="zh-CN"/>
        </w:rPr>
        <w:t xml:space="preserve">/ML </w:t>
      </w:r>
      <w:r>
        <w:rPr>
          <w:rFonts w:hint="default" w:ascii="Times New Roman" w:hAnsi="Times New Roman" w:cs="Times New Roman"/>
          <w:kern w:val="2"/>
          <w:sz w:val="20"/>
          <w:szCs w:val="20"/>
        </w:rPr>
        <w:t xml:space="preserve">model can provide a good generalization capability on different </w:t>
      </w:r>
      <w:r>
        <w:rPr>
          <w:rFonts w:hint="default" w:ascii="Times New Roman" w:hAnsi="Times New Roman" w:cs="Times New Roman"/>
          <w:kern w:val="2"/>
          <w:sz w:val="20"/>
          <w:szCs w:val="20"/>
          <w:lang w:val="en-US" w:eastAsia="zh-CN"/>
        </w:rPr>
        <w:t>UE distributions.</w:t>
      </w:r>
    </w:p>
    <w:p>
      <w:pPr>
        <w:pStyle w:val="117"/>
        <w:spacing w:before="72" w:after="72"/>
        <w:jc w:val="both"/>
        <w:rPr>
          <w:rFonts w:hint="default" w:ascii="Times New Roman" w:hAnsi="Times New Roman" w:cs="Times New Roman"/>
          <w:kern w:val="2"/>
          <w:sz w:val="20"/>
          <w:szCs w:val="20"/>
          <w:lang w:val="en-US"/>
        </w:rPr>
      </w:pPr>
      <w:r>
        <w:rPr>
          <w:rFonts w:hint="default" w:ascii="Times New Roman" w:hAnsi="Times New Roman" w:cs="Times New Roman"/>
          <w:kern w:val="2"/>
          <w:sz w:val="20"/>
          <w:szCs w:val="20"/>
          <w:lang w:val="en-US" w:eastAsia="zh-CN"/>
        </w:rPr>
        <w:t>T</w:t>
      </w:r>
      <w:r>
        <w:rPr>
          <w:rFonts w:hint="default" w:ascii="Times New Roman" w:hAnsi="Times New Roman" w:eastAsia="Times New Roman" w:cs="Times New Roman"/>
          <w:sz w:val="20"/>
          <w:szCs w:val="20"/>
          <w:lang w:val="en-US" w:eastAsia="zh-CN"/>
        </w:rPr>
        <w:t xml:space="preserve">he performance of </w:t>
      </w:r>
      <w:r>
        <w:rPr>
          <w:rFonts w:hint="default" w:ascii="Times New Roman" w:hAnsi="Times New Roman" w:eastAsia="Times New Roman" w:cs="Times New Roman"/>
          <w:sz w:val="20"/>
          <w:szCs w:val="20"/>
        </w:rPr>
        <w:t>predicted L1-RSRP</w:t>
      </w:r>
      <w:r>
        <w:rPr>
          <w:rFonts w:hint="default" w:ascii="Times New Roman" w:hAnsi="Times New Roman" w:eastAsia="Times New Roman" w:cs="Times New Roman"/>
          <w:sz w:val="20"/>
          <w:szCs w:val="20"/>
          <w:lang w:val="en-US" w:eastAsia="zh-CN"/>
        </w:rPr>
        <w:t xml:space="preserve"> difference shows strong correction with other intermediate KPI (such as the beam prediction accuracy of Top-1/K beam(s)).</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In BM-Case2, compared with the case that Set B is fixed across training and inference, a slight performance gain is observed if Set B is </w:t>
      </w:r>
      <w:r>
        <w:rPr>
          <w:rFonts w:hint="default" w:ascii="Times New Roman" w:hAnsi="Times New Roman" w:cs="Times New Roman"/>
          <w:kern w:val="2"/>
          <w:sz w:val="20"/>
          <w:szCs w:val="20"/>
          <w:lang w:eastAsia="ko-KR"/>
        </w:rPr>
        <w:t>changed following a set of pre-configured patterns</w:t>
      </w:r>
      <w:r>
        <w:rPr>
          <w:rFonts w:hint="default" w:ascii="Times New Roman" w:hAnsi="Times New Roman" w:cs="Times New Roman"/>
          <w:kern w:val="2"/>
          <w:sz w:val="20"/>
          <w:szCs w:val="20"/>
        </w:rPr>
        <w:t xml:space="preserve">.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In BM-Case2, compared with the case that the Set B pattern is randomly selected from a total of 4 beam patterns in each past time instance, a slight performance gain is observed if Set B is </w:t>
      </w:r>
      <w:r>
        <w:rPr>
          <w:rFonts w:hint="default" w:ascii="Times New Roman" w:hAnsi="Times New Roman" w:cs="Times New Roman"/>
          <w:kern w:val="2"/>
          <w:sz w:val="20"/>
          <w:szCs w:val="20"/>
          <w:lang w:eastAsia="ko-KR"/>
        </w:rPr>
        <w:t>changed following a set of pre-configured patterns</w:t>
      </w:r>
      <w:r>
        <w:rPr>
          <w:rFonts w:hint="default" w:ascii="Times New Roman" w:hAnsi="Times New Roman" w:cs="Times New Roman"/>
          <w:kern w:val="2"/>
          <w:sz w:val="20"/>
          <w:szCs w:val="20"/>
        </w:rPr>
        <w:t xml:space="preserve">.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In BM-Case2, if Top-4 or Top-2 beams of all measured beams are used as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inputs in each past time instance, only a little performance loss is observed compared with the case that all measured beams are used as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input.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In BM-Case2, the Tx beam prediction obtains a better performance than that of the Tx-Rx beam pair prediction with the assumption of the optimal Rx beam or the specific Rx beam</w:t>
      </w:r>
      <w:r>
        <w:rPr>
          <w:rFonts w:hint="default" w:ascii="Times New Roman" w:hAnsi="Times New Roman" w:cs="Times New Roman"/>
          <w:kern w:val="2"/>
          <w:sz w:val="20"/>
          <w:szCs w:val="20"/>
          <w:lang w:val="en-US" w:eastAsia="zh-CN"/>
        </w:rPr>
        <w:t xml:space="preserve"> being used for measurement</w:t>
      </w:r>
      <w:r>
        <w:rPr>
          <w:rFonts w:hint="default" w:ascii="Times New Roman" w:hAnsi="Times New Roman" w:cs="Times New Roman"/>
          <w:kern w:val="2"/>
          <w:sz w:val="20"/>
          <w:szCs w:val="20"/>
        </w:rPr>
        <w:t xml:space="preserve">. </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In BM-Case2, if 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is trained with samples of mixed UE speeds, a </w:t>
      </w:r>
      <w:r>
        <w:rPr>
          <w:rFonts w:hint="default" w:ascii="Times New Roman" w:hAnsi="Times New Roman" w:cs="Times New Roman"/>
          <w:kern w:val="2"/>
          <w:sz w:val="20"/>
          <w:szCs w:val="20"/>
          <w:lang w:val="en-US" w:eastAsia="zh-CN"/>
        </w:rPr>
        <w:t xml:space="preserve">minor </w:t>
      </w:r>
      <w:r>
        <w:rPr>
          <w:rFonts w:hint="default" w:ascii="Times New Roman" w:hAnsi="Times New Roman" w:cs="Times New Roman"/>
          <w:kern w:val="2"/>
          <w:sz w:val="20"/>
          <w:szCs w:val="20"/>
        </w:rPr>
        <w:t xml:space="preserve">performance loss is observed as the UE speed in testing samples increases from 30km/h to </w:t>
      </w:r>
      <w:r>
        <w:rPr>
          <w:rFonts w:hint="default" w:ascii="Times New Roman" w:hAnsi="Times New Roman" w:cs="Times New Roman"/>
          <w:kern w:val="2"/>
          <w:sz w:val="20"/>
          <w:szCs w:val="20"/>
          <w:lang w:val="en-US" w:eastAsia="zh-CN"/>
        </w:rPr>
        <w:t>6</w:t>
      </w:r>
      <w:r>
        <w:rPr>
          <w:rFonts w:hint="default" w:ascii="Times New Roman" w:hAnsi="Times New Roman" w:cs="Times New Roman"/>
          <w:kern w:val="2"/>
          <w:sz w:val="20"/>
          <w:szCs w:val="20"/>
        </w:rPr>
        <w:t>0km/h.</w:t>
      </w:r>
    </w:p>
    <w:p>
      <w:pPr>
        <w:pStyle w:val="117"/>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In BM-Case2, compared with the case that the same UE speed is used for generating the training data samples and the testing data samples, </w:t>
      </w:r>
      <w:r>
        <w:rPr>
          <w:rFonts w:hint="default" w:ascii="Times New Roman" w:hAnsi="Times New Roman" w:cs="Times New Roman"/>
          <w:kern w:val="2"/>
          <w:sz w:val="20"/>
          <w:szCs w:val="20"/>
          <w:lang w:val="en-US" w:eastAsia="zh-CN"/>
        </w:rPr>
        <w:t>a minor performance loss</w:t>
      </w:r>
      <w:r>
        <w:rPr>
          <w:rFonts w:hint="default" w:ascii="Times New Roman" w:hAnsi="Times New Roman" w:cs="Times New Roman"/>
          <w:kern w:val="2"/>
          <w:sz w:val="20"/>
          <w:szCs w:val="20"/>
        </w:rPr>
        <w:t xml:space="preserve"> is observed if both the training data samples and the testing data samples of 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are mixed data samples.</w:t>
      </w:r>
    </w:p>
    <w:p>
      <w:pPr>
        <w:snapToGrid w:val="0"/>
        <w:spacing w:before="72" w:beforeLines="30" w:after="72" w:afterLines="30" w:line="288" w:lineRule="auto"/>
        <w:jc w:val="both"/>
        <w:rPr>
          <w:rFonts w:hint="default" w:ascii="Times New Roman" w:hAnsi="Times New Roman" w:cs="Times New Roman"/>
          <w:i/>
          <w:iCs/>
          <w:sz w:val="20"/>
          <w:szCs w:val="20"/>
        </w:rPr>
      </w:pPr>
    </w:p>
    <w:p>
      <w:pPr>
        <w:snapToGrid w:val="0"/>
        <w:spacing w:before="72" w:beforeLines="30" w:after="72" w:afterLines="30" w:line="288" w:lineRule="auto"/>
        <w:jc w:val="both"/>
        <w:rPr>
          <w:rFonts w:hint="default" w:ascii="Times New Roman" w:hAnsi="Times New Roman" w:eastAsia="Times New Roman" w:cs="Times New Roman"/>
          <w:b/>
          <w:bCs/>
          <w:i/>
          <w:iCs/>
          <w:sz w:val="20"/>
          <w:szCs w:val="20"/>
        </w:rPr>
      </w:pPr>
      <w:r>
        <w:rPr>
          <w:rFonts w:hint="default" w:ascii="Times New Roman" w:hAnsi="Times New Roman" w:eastAsia="Times New Roman" w:cs="Times New Roman"/>
          <w:b/>
          <w:bCs/>
          <w:i/>
          <w:iCs/>
          <w:sz w:val="20"/>
          <w:szCs w:val="20"/>
          <w:u w:val="single"/>
          <w:lang w:val="en-GB"/>
        </w:rPr>
        <w:t>Proposals:</w:t>
      </w:r>
    </w:p>
    <w:bookmarkEnd w:id="16"/>
    <w:p>
      <w:pPr>
        <w:pStyle w:val="35"/>
        <w:keepNext w:val="0"/>
        <w:keepLines w:val="0"/>
        <w:pageBreakBefore w:val="0"/>
        <w:widowControl/>
        <w:numPr>
          <w:numId w:val="17"/>
        </w:numPr>
        <w:kinsoku/>
        <w:wordWrap/>
        <w:overflowPunct/>
        <w:topLinePunct w:val="0"/>
        <w:autoSpaceDE/>
        <w:autoSpaceDN/>
        <w:bidi w:val="0"/>
        <w:adjustRightInd/>
        <w:snapToGrid/>
        <w:spacing w:before="72" w:after="72"/>
        <w:ind w:left="0" w:firstLine="0"/>
        <w:jc w:val="both"/>
        <w:textAlignment w:val="auto"/>
        <w:rPr>
          <w:rFonts w:hint="default" w:ascii="Times New Roman" w:hAnsi="Times New Roman" w:cs="Times New Roman"/>
          <w:kern w:val="2"/>
          <w:sz w:val="20"/>
          <w:szCs w:val="20"/>
        </w:rPr>
      </w:pPr>
      <w:r>
        <w:rPr>
          <w:rFonts w:hint="default" w:ascii="Times New Roman" w:hAnsi="Times New Roman" w:cs="Times New Roman"/>
          <w:kern w:val="2"/>
          <w:sz w:val="20"/>
          <w:szCs w:val="20"/>
        </w:rPr>
        <w:t>In the beam pair prediction, it</w:t>
      </w:r>
      <w:r>
        <w:rPr>
          <w:rFonts w:hint="default" w:ascii="Times New Roman" w:hAnsi="Times New Roman" w:cs="Times New Roman"/>
          <w:kern w:val="2"/>
          <w:sz w:val="20"/>
          <w:szCs w:val="20"/>
          <w:lang w:val="en-US"/>
        </w:rPr>
        <w:t>’</w:t>
      </w:r>
      <w:r>
        <w:rPr>
          <w:rFonts w:hint="default" w:ascii="Times New Roman" w:hAnsi="Times New Roman" w:cs="Times New Roman"/>
          <w:kern w:val="2"/>
          <w:sz w:val="20"/>
          <w:szCs w:val="20"/>
        </w:rPr>
        <w:t xml:space="preserve">s better to take measurement results of all Rx beams as the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input </w:t>
      </w:r>
      <w:r>
        <w:rPr>
          <w:rFonts w:hint="default" w:ascii="Times New Roman" w:hAnsi="Times New Roman" w:cs="Times New Roman"/>
          <w:kern w:val="2"/>
          <w:sz w:val="20"/>
          <w:szCs w:val="20"/>
          <w:lang w:val="en-US" w:eastAsia="zh-CN"/>
        </w:rPr>
        <w:t xml:space="preserve">(i.e., </w:t>
      </w:r>
      <w:r>
        <w:rPr>
          <w:rFonts w:hint="default" w:ascii="Times New Roman" w:hAnsi="Times New Roman" w:cs="Times New Roman"/>
          <w:b/>
          <w:bCs/>
          <w:sz w:val="20"/>
          <w:szCs w:val="20"/>
        </w:rPr>
        <w:t>down sampling in Tx beams only</w:t>
      </w:r>
      <w:r>
        <w:rPr>
          <w:rFonts w:hint="default" w:ascii="Times New Roman" w:hAnsi="Times New Roman" w:cs="Times New Roman"/>
          <w:kern w:val="2"/>
          <w:sz w:val="20"/>
          <w:szCs w:val="20"/>
          <w:lang w:val="en-US" w:eastAsia="zh-CN"/>
        </w:rPr>
        <w:t xml:space="preserve">) </w:t>
      </w:r>
      <w:r>
        <w:rPr>
          <w:rFonts w:hint="default" w:ascii="Times New Roman" w:hAnsi="Times New Roman" w:cs="Times New Roman"/>
          <w:kern w:val="2"/>
          <w:sz w:val="20"/>
          <w:szCs w:val="20"/>
        </w:rPr>
        <w:t xml:space="preserve">instead of performing any sampling </w:t>
      </w:r>
      <w:r>
        <w:rPr>
          <w:rFonts w:hint="default" w:ascii="Times New Roman" w:hAnsi="Times New Roman" w:cs="Times New Roman"/>
          <w:kern w:val="2"/>
          <w:sz w:val="20"/>
          <w:szCs w:val="20"/>
          <w:lang w:val="en-US" w:eastAsia="zh-CN"/>
        </w:rPr>
        <w:t xml:space="preserve">in </w:t>
      </w:r>
      <w:r>
        <w:rPr>
          <w:rFonts w:hint="default" w:ascii="Times New Roman" w:hAnsi="Times New Roman" w:cs="Times New Roman"/>
          <w:kern w:val="2"/>
          <w:sz w:val="20"/>
          <w:szCs w:val="20"/>
        </w:rPr>
        <w:t xml:space="preserve">the Rx beam space. </w:t>
      </w:r>
    </w:p>
    <w:p>
      <w:pPr>
        <w:pStyle w:val="35"/>
        <w:keepNext w:val="0"/>
        <w:keepLines w:val="0"/>
        <w:pageBreakBefore w:val="0"/>
        <w:widowControl/>
        <w:numPr>
          <w:ilvl w:val="0"/>
          <w:numId w:val="17"/>
        </w:numPr>
        <w:kinsoku/>
        <w:wordWrap/>
        <w:overflowPunct/>
        <w:topLinePunct w:val="0"/>
        <w:autoSpaceDE/>
        <w:autoSpaceDN/>
        <w:bidi w:val="0"/>
        <w:adjustRightInd/>
        <w:snapToGrid/>
        <w:spacing w:before="72" w:after="72"/>
        <w:ind w:left="0" w:firstLine="0"/>
        <w:jc w:val="both"/>
        <w:textAlignment w:val="auto"/>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For the </w:t>
      </w:r>
      <w:r>
        <w:rPr>
          <w:rFonts w:hint="default" w:ascii="Times New Roman" w:hAnsi="Times New Roman" w:cs="Times New Roman"/>
          <w:kern w:val="2"/>
          <w:sz w:val="20"/>
          <w:szCs w:val="20"/>
          <w:lang w:val="en-US"/>
        </w:rPr>
        <w:t>Rx beam assumption</w:t>
      </w:r>
      <w:r>
        <w:rPr>
          <w:rFonts w:hint="default" w:ascii="Times New Roman" w:hAnsi="Times New Roman" w:cs="Times New Roman"/>
          <w:kern w:val="2"/>
          <w:sz w:val="20"/>
          <w:szCs w:val="20"/>
        </w:rPr>
        <w:t xml:space="preserve"> of beam pair prediction, </w:t>
      </w:r>
      <w:r>
        <w:rPr>
          <w:rFonts w:hint="default" w:ascii="Times New Roman" w:hAnsi="Times New Roman" w:cs="Times New Roman"/>
          <w:kern w:val="2"/>
          <w:sz w:val="20"/>
          <w:szCs w:val="20"/>
          <w:lang w:val="en-US"/>
        </w:rPr>
        <w:t>consider both the Tx down sampling and/or Rx down sampling for evaluation.</w:t>
      </w:r>
    </w:p>
    <w:p>
      <w:pPr>
        <w:pStyle w:val="35"/>
        <w:spacing w:before="72" w:after="72"/>
        <w:jc w:val="both"/>
        <w:rPr>
          <w:rFonts w:hint="default" w:ascii="Times New Roman" w:hAnsi="Times New Roman" w:cs="Times New Roman"/>
          <w:kern w:val="2"/>
          <w:sz w:val="20"/>
          <w:szCs w:val="20"/>
          <w:lang w:eastAsia="ko-KR"/>
        </w:rPr>
      </w:pPr>
      <w:r>
        <w:rPr>
          <w:rFonts w:hint="default" w:ascii="Times New Roman" w:hAnsi="Times New Roman" w:cs="Times New Roman"/>
          <w:kern w:val="2"/>
          <w:sz w:val="20"/>
          <w:szCs w:val="20"/>
        </w:rPr>
        <w:t xml:space="preserve">At least for evaluation on the performance of DL Tx beam prediction, </w:t>
      </w:r>
      <w:r>
        <w:rPr>
          <w:rFonts w:hint="default" w:ascii="Times New Roman" w:hAnsi="Times New Roman" w:cs="Times New Roman"/>
          <w:kern w:val="2"/>
          <w:sz w:val="20"/>
          <w:szCs w:val="20"/>
          <w:lang w:val="en-US"/>
        </w:rPr>
        <w:t xml:space="preserve">consider the following five </w:t>
      </w:r>
      <w:r>
        <w:rPr>
          <w:rFonts w:hint="default" w:ascii="Times New Roman" w:hAnsi="Times New Roman" w:cs="Times New Roman"/>
          <w:kern w:val="2"/>
          <w:sz w:val="20"/>
          <w:szCs w:val="20"/>
        </w:rPr>
        <w:t xml:space="preserve">Rx beam </w:t>
      </w:r>
      <w:r>
        <w:rPr>
          <w:rFonts w:hint="default" w:ascii="Times New Roman" w:hAnsi="Times New Roman" w:cs="Times New Roman"/>
          <w:kern w:val="2"/>
          <w:sz w:val="20"/>
          <w:szCs w:val="20"/>
          <w:lang w:val="en-US"/>
        </w:rPr>
        <w:t xml:space="preserve">assumptions </w:t>
      </w:r>
      <w:r>
        <w:rPr>
          <w:rFonts w:hint="default" w:ascii="Times New Roman" w:hAnsi="Times New Roman" w:cs="Times New Roman"/>
          <w:kern w:val="2"/>
          <w:sz w:val="20"/>
          <w:szCs w:val="20"/>
        </w:rPr>
        <w:t>for providing input for AI/ML model for training and/or inference</w:t>
      </w:r>
      <w:r>
        <w:rPr>
          <w:rFonts w:hint="default" w:ascii="Times New Roman" w:hAnsi="Times New Roman" w:cs="Times New Roman"/>
          <w:kern w:val="2"/>
          <w:sz w:val="20"/>
          <w:szCs w:val="20"/>
          <w:lang w:val="en-US"/>
        </w:rPr>
        <w:t>,</w:t>
      </w:r>
    </w:p>
    <w:p>
      <w:pPr>
        <w:pStyle w:val="118"/>
        <w:tabs>
          <w:tab w:val="left" w:pos="0"/>
          <w:tab w:val="left" w:pos="567"/>
          <w:tab w:val="left" w:pos="993"/>
        </w:tabs>
        <w:spacing w:before="72" w:after="72"/>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Rx beam assumption 1:</w:t>
      </w:r>
      <w:r>
        <w:rPr>
          <w:rFonts w:hint="default" w:ascii="Times New Roman" w:hAnsi="Times New Roman" w:eastAsia="Batang" w:cs="Times New Roman"/>
          <w:sz w:val="20"/>
          <w:szCs w:val="20"/>
          <w:lang w:val="en-GB" w:eastAsia="ko-KR"/>
        </w:rPr>
        <w:t xml:space="preserve"> </w:t>
      </w:r>
      <w:r>
        <w:rPr>
          <w:rFonts w:hint="default" w:ascii="Times New Roman" w:hAnsi="Times New Roman" w:eastAsia="Batang" w:cs="Times New Roman"/>
          <w:sz w:val="20"/>
          <w:szCs w:val="20"/>
        </w:rPr>
        <w:t xml:space="preserve">the best Rx beam for the best Tx beam within Set B </w:t>
      </w:r>
    </w:p>
    <w:p>
      <w:pPr>
        <w:pStyle w:val="118"/>
        <w:tabs>
          <w:tab w:val="left" w:pos="0"/>
          <w:tab w:val="left" w:pos="567"/>
          <w:tab w:val="left" w:pos="993"/>
        </w:tabs>
        <w:spacing w:before="72" w:after="72"/>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Rx beam assumption 2: the best Rx beam searched for one Tx beam within Set B</w:t>
      </w:r>
      <w:r>
        <w:rPr>
          <w:rFonts w:hint="default" w:ascii="Times New Roman" w:hAnsi="Times New Roman" w:eastAsia="Batang" w:cs="Times New Roman"/>
          <w:sz w:val="20"/>
          <w:szCs w:val="20"/>
          <w:lang w:val="en-GB" w:eastAsia="ko-KR"/>
        </w:rPr>
        <w:t xml:space="preserve"> </w:t>
      </w:r>
    </w:p>
    <w:p>
      <w:pPr>
        <w:pStyle w:val="118"/>
        <w:tabs>
          <w:tab w:val="left" w:pos="0"/>
          <w:tab w:val="left" w:pos="567"/>
          <w:tab w:val="left" w:pos="993"/>
        </w:tabs>
        <w:spacing w:before="72" w:after="72"/>
        <w:rPr>
          <w:rFonts w:hint="default" w:ascii="Times New Roman" w:hAnsi="Times New Roman" w:eastAsia="Batang" w:cs="Times New Roman"/>
          <w:sz w:val="20"/>
          <w:szCs w:val="20"/>
          <w:lang w:val="en-GB" w:eastAsia="ko-KR"/>
        </w:rPr>
      </w:pPr>
      <w:r>
        <w:rPr>
          <w:rFonts w:hint="default" w:ascii="Times New Roman" w:hAnsi="Times New Roman" w:eastAsia="Batang" w:cs="Times New Roman"/>
          <w:sz w:val="20"/>
          <w:szCs w:val="20"/>
        </w:rPr>
        <w:t>Rx beam assumption 3:</w:t>
      </w:r>
      <w:r>
        <w:rPr>
          <w:rFonts w:hint="default" w:ascii="Times New Roman" w:hAnsi="Times New Roman" w:eastAsia="Batang" w:cs="Times New Roman"/>
          <w:sz w:val="20"/>
          <w:szCs w:val="20"/>
          <w:lang w:val="en-GB" w:eastAsia="ko-KR"/>
        </w:rPr>
        <w:t xml:space="preserve"> </w:t>
      </w:r>
      <w:r>
        <w:rPr>
          <w:rFonts w:hint="default" w:ascii="Times New Roman" w:hAnsi="Times New Roman" w:eastAsia="Batang" w:cs="Times New Roman"/>
          <w:sz w:val="20"/>
          <w:szCs w:val="20"/>
          <w:lang w:val="en-GB" w:eastAsia="en-US"/>
        </w:rPr>
        <w:t xml:space="preserve"> the best Rx beam for the best Tx beam within Set A</w:t>
      </w:r>
      <w:r>
        <w:rPr>
          <w:rFonts w:hint="default" w:ascii="Times New Roman" w:hAnsi="Times New Roman" w:eastAsia="Batang" w:cs="Times New Roman"/>
          <w:sz w:val="20"/>
          <w:szCs w:val="20"/>
          <w:lang w:val="en-GB" w:eastAsia="ko-KR"/>
        </w:rPr>
        <w:t xml:space="preserve"> </w:t>
      </w:r>
    </w:p>
    <w:p>
      <w:pPr>
        <w:pStyle w:val="118"/>
        <w:tabs>
          <w:tab w:val="left" w:pos="0"/>
          <w:tab w:val="left" w:pos="567"/>
          <w:tab w:val="left" w:pos="993"/>
        </w:tabs>
        <w:spacing w:before="72" w:after="72"/>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Rx beam assumption 4:</w:t>
      </w:r>
      <w:r>
        <w:rPr>
          <w:rFonts w:hint="default" w:ascii="Times New Roman" w:hAnsi="Times New Roman" w:eastAsia="Batang" w:cs="Times New Roman"/>
          <w:sz w:val="20"/>
          <w:szCs w:val="20"/>
          <w:lang w:val="en-GB" w:eastAsia="ko-KR"/>
        </w:rPr>
        <w:t xml:space="preserve"> a specific Rx beam (</w:t>
      </w:r>
      <w:r>
        <w:rPr>
          <w:rFonts w:hint="default" w:ascii="Times New Roman" w:hAnsi="Times New Roman" w:eastAsia="宋体" w:cs="Times New Roman"/>
          <w:sz w:val="20"/>
          <w:szCs w:val="20"/>
        </w:rPr>
        <w:t>e.g.</w:t>
      </w:r>
      <w:r>
        <w:rPr>
          <w:rFonts w:hint="default" w:ascii="Times New Roman" w:hAnsi="Times New Roman" w:eastAsia="Batang" w:cs="Times New Roman"/>
          <w:sz w:val="20"/>
          <w:szCs w:val="20"/>
          <w:lang w:val="en-GB" w:eastAsia="ko-KR"/>
        </w:rPr>
        <w:t>, the first Rx beam</w:t>
      </w:r>
      <w:r>
        <w:rPr>
          <w:rFonts w:hint="default" w:ascii="Times New Roman" w:hAnsi="Times New Roman" w:eastAsia="宋体" w:cs="Times New Roman"/>
          <w:sz w:val="20"/>
          <w:szCs w:val="20"/>
        </w:rPr>
        <w:t xml:space="preserve"> in the first UE panel</w:t>
      </w:r>
      <w:r>
        <w:rPr>
          <w:rFonts w:hint="default" w:ascii="Times New Roman" w:hAnsi="Times New Roman" w:eastAsia="Batang" w:cs="Times New Roman"/>
          <w:sz w:val="20"/>
          <w:szCs w:val="20"/>
          <w:lang w:val="en-GB" w:eastAsia="ko-KR"/>
        </w:rPr>
        <w:t xml:space="preserve">) </w:t>
      </w:r>
    </w:p>
    <w:p>
      <w:pPr>
        <w:pStyle w:val="118"/>
        <w:tabs>
          <w:tab w:val="left" w:pos="0"/>
          <w:tab w:val="left" w:pos="567"/>
          <w:tab w:val="left" w:pos="993"/>
        </w:tabs>
        <w:spacing w:before="72" w:after="72"/>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Rx beam assumption </w:t>
      </w:r>
      <w:r>
        <w:rPr>
          <w:rFonts w:hint="default" w:ascii="Times New Roman" w:hAnsi="Times New Roman" w:eastAsia="宋体" w:cs="Times New Roman"/>
          <w:sz w:val="20"/>
          <w:szCs w:val="20"/>
        </w:rPr>
        <w:t>5</w:t>
      </w: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lang w:val="en-GB" w:eastAsia="ko-KR"/>
        </w:rPr>
        <w:t xml:space="preserve"> </w:t>
      </w:r>
      <w:r>
        <w:rPr>
          <w:rFonts w:hint="default" w:ascii="Times New Roman" w:hAnsi="Times New Roman" w:eastAsia="宋体" w:cs="Times New Roman"/>
          <w:sz w:val="20"/>
          <w:szCs w:val="20"/>
        </w:rPr>
        <w:t>the best Rx beam for each Tx beam within Set B</w:t>
      </w:r>
      <w:r>
        <w:rPr>
          <w:rFonts w:hint="default" w:ascii="Times New Roman" w:hAnsi="Times New Roman" w:eastAsia="Batang" w:cs="Times New Roman"/>
          <w:sz w:val="20"/>
          <w:szCs w:val="20"/>
          <w:lang w:val="en-GB" w:eastAsia="ko-KR"/>
        </w:rPr>
        <w:t xml:space="preserve"> </w:t>
      </w:r>
    </w:p>
    <w:p>
      <w:pPr>
        <w:pStyle w:val="35"/>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To reduce the overhead of UE feedback beam measurements for DL Tx beam prediction in BM-Case 1, it is better to only report partial beams from a set of beams for measurement for a NW-side model. </w:t>
      </w:r>
    </w:p>
    <w:p>
      <w:pPr>
        <w:pStyle w:val="35"/>
        <w:spacing w:before="72" w:after="72"/>
        <w:jc w:val="both"/>
        <w:rPr>
          <w:rFonts w:hint="default" w:ascii="Times New Roman" w:hAnsi="Times New Roman" w:cs="Times New Roman"/>
          <w:kern w:val="2"/>
          <w:sz w:val="20"/>
          <w:szCs w:val="20"/>
          <w:lang w:val="en-US"/>
        </w:rPr>
      </w:pPr>
      <w:r>
        <w:rPr>
          <w:rFonts w:hint="default" w:ascii="Times New Roman" w:hAnsi="Times New Roman" w:eastAsia="Times New Roman" w:cs="Times New Roman"/>
          <w:sz w:val="20"/>
          <w:szCs w:val="20"/>
          <w:lang w:val="en-US"/>
        </w:rPr>
        <w:t xml:space="preserve">Alt.4 (i.e., </w:t>
      </w:r>
      <w:r>
        <w:rPr>
          <w:rFonts w:hint="default" w:ascii="Times New Roman" w:hAnsi="Times New Roman" w:eastAsia="Batang" w:cs="Times New Roman"/>
          <w:sz w:val="20"/>
          <w:szCs w:val="20"/>
          <w:lang w:val="en-US"/>
        </w:rPr>
        <w:t>the L1-RSRP difference evaluated by comparing measured RSRP and predicted RSRP</w:t>
      </w:r>
      <w:r>
        <w:rPr>
          <w:rFonts w:hint="default" w:ascii="Times New Roman" w:hAnsi="Times New Roman" w:eastAsia="Times New Roman" w:cs="Times New Roman"/>
          <w:sz w:val="20"/>
          <w:szCs w:val="20"/>
          <w:lang w:val="en-US"/>
        </w:rPr>
        <w:t xml:space="preserve">) is feasible to be adopted as the </w:t>
      </w:r>
      <w:r>
        <w:rPr>
          <w:rFonts w:hint="default" w:ascii="Times New Roman" w:hAnsi="Times New Roman" w:cs="Times New Roman"/>
          <w:sz w:val="20"/>
          <w:szCs w:val="20"/>
          <w:lang w:val="en-US"/>
        </w:rPr>
        <w:t xml:space="preserve">performance metric for AI/ML model monitoring. </w:t>
      </w:r>
    </w:p>
    <w:p>
      <w:pPr>
        <w:pStyle w:val="35"/>
        <w:spacing w:before="72" w:after="72"/>
        <w:jc w:val="both"/>
        <w:rPr>
          <w:rFonts w:hint="default" w:ascii="Times New Roman" w:hAnsi="Times New Roman" w:cs="Times New Roman"/>
          <w:kern w:val="2"/>
          <w:sz w:val="20"/>
          <w:szCs w:val="20"/>
        </w:rPr>
      </w:pPr>
      <w:r>
        <w:rPr>
          <w:rFonts w:hint="default" w:ascii="Times New Roman" w:hAnsi="Times New Roman" w:cs="Times New Roman"/>
          <w:kern w:val="2"/>
          <w:sz w:val="20"/>
          <w:szCs w:val="20"/>
        </w:rPr>
        <w:t xml:space="preserve">To reduce UE report overhead in BM-Case 2 for </w:t>
      </w:r>
      <w:r>
        <w:rPr>
          <w:rFonts w:hint="default" w:ascii="Times New Roman" w:hAnsi="Times New Roman" w:cs="Times New Roman"/>
          <w:kern w:val="2"/>
          <w:sz w:val="20"/>
          <w:szCs w:val="20"/>
          <w:lang w:val="en-US"/>
        </w:rPr>
        <w:t>a NW</w:t>
      </w:r>
      <w:r>
        <w:rPr>
          <w:rFonts w:hint="default" w:ascii="Times New Roman" w:hAnsi="Times New Roman" w:cs="Times New Roman"/>
          <w:kern w:val="2"/>
          <w:sz w:val="20"/>
          <w:szCs w:val="20"/>
        </w:rPr>
        <w:t xml:space="preserve">-side model, it is better to take partial beams from the beam set for measurement as </w:t>
      </w:r>
      <w:r>
        <w:rPr>
          <w:rFonts w:hint="default" w:ascii="Times New Roman" w:hAnsi="Times New Roman" w:cs="Times New Roman"/>
          <w:kern w:val="2"/>
          <w:sz w:val="20"/>
          <w:szCs w:val="20"/>
          <w:lang w:eastAsia="zh-CN"/>
        </w:rPr>
        <w:t xml:space="preserve">AI/ML model </w:t>
      </w:r>
      <w:r>
        <w:rPr>
          <w:rFonts w:hint="default" w:ascii="Times New Roman" w:hAnsi="Times New Roman" w:cs="Times New Roman"/>
          <w:kern w:val="2"/>
          <w:sz w:val="20"/>
          <w:szCs w:val="20"/>
        </w:rPr>
        <w:t xml:space="preserve">input. </w:t>
      </w:r>
    </w:p>
    <w:p>
      <w:pPr>
        <w:pStyle w:val="74"/>
        <w:snapToGrid w:val="0"/>
        <w:rPr>
          <w:bCs/>
          <w:sz w:val="20"/>
          <w:szCs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kern w:val="2"/>
          <w:sz w:val="32"/>
          <w:szCs w:val="20"/>
          <w:lang w:val="en-US"/>
        </w:rPr>
      </w:pPr>
      <w:r>
        <w:rPr>
          <w:rFonts w:hint="eastAsia" w:eastAsia="Arial Unicode MS"/>
          <w:b w:val="0"/>
          <w:bCs w:val="0"/>
          <w:kern w:val="2"/>
          <w:sz w:val="32"/>
          <w:szCs w:val="20"/>
          <w:lang w:val="en-US"/>
        </w:rPr>
        <w:t>References</w:t>
      </w:r>
    </w:p>
    <w:p>
      <w:pPr>
        <w:pStyle w:val="116"/>
        <w:spacing w:before="72" w:beforeLines="30" w:after="72" w:afterLines="30" w:line="288" w:lineRule="auto"/>
        <w:ind w:left="363" w:hanging="363"/>
        <w:jc w:val="both"/>
        <w:rPr>
          <w:bCs/>
          <w:sz w:val="20"/>
          <w:szCs w:val="20"/>
        </w:rPr>
      </w:pPr>
      <w:r>
        <w:rPr>
          <w:rFonts w:hint="eastAsia"/>
          <w:bCs/>
          <w:sz w:val="20"/>
          <w:szCs w:val="20"/>
        </w:rPr>
        <w:t xml:space="preserve">BMCase1_v000, simulation result collection excel, 3GPP TSG RAN1#112-bis-e, April 2023. </w:t>
      </w:r>
    </w:p>
    <w:p>
      <w:pPr>
        <w:pStyle w:val="116"/>
        <w:spacing w:before="72" w:beforeLines="30" w:after="72" w:afterLines="30" w:line="288" w:lineRule="auto"/>
        <w:ind w:left="363" w:hanging="363"/>
        <w:jc w:val="both"/>
        <w:rPr>
          <w:bCs/>
          <w:sz w:val="20"/>
          <w:szCs w:val="20"/>
        </w:rPr>
      </w:pPr>
      <w:r>
        <w:rPr>
          <w:rFonts w:hint="eastAsia"/>
          <w:bCs/>
          <w:sz w:val="20"/>
          <w:szCs w:val="20"/>
        </w:rPr>
        <w:t xml:space="preserve">BMCase1_Txbeam_Generalization_v000, simulation result collection excel, 3GPP TSG RAN1#112-bis-e, April 2023. </w:t>
      </w:r>
    </w:p>
    <w:p>
      <w:pPr>
        <w:pStyle w:val="116"/>
        <w:spacing w:before="72" w:beforeLines="30" w:after="72" w:afterLines="30" w:line="288" w:lineRule="auto"/>
        <w:ind w:left="363" w:hanging="363"/>
        <w:jc w:val="both"/>
        <w:rPr>
          <w:bCs/>
          <w:sz w:val="20"/>
          <w:szCs w:val="20"/>
        </w:rPr>
      </w:pPr>
      <w:r>
        <w:rPr>
          <w:rFonts w:hint="eastAsia"/>
          <w:bCs/>
          <w:sz w:val="20"/>
          <w:szCs w:val="20"/>
        </w:rPr>
        <w:t xml:space="preserve">BMCase1_BeamPair_Generalization_v000, simulation result collection excel, 3GPP TSG RAN1#112-bis-e, April 2023. </w:t>
      </w:r>
    </w:p>
    <w:p>
      <w:pPr>
        <w:pStyle w:val="116"/>
        <w:spacing w:before="72" w:beforeLines="30" w:after="72" w:afterLines="30" w:line="288" w:lineRule="auto"/>
        <w:ind w:left="363" w:hanging="363"/>
        <w:jc w:val="both"/>
        <w:rPr>
          <w:bCs/>
          <w:sz w:val="20"/>
          <w:szCs w:val="20"/>
        </w:rPr>
      </w:pPr>
      <w:r>
        <w:rPr>
          <w:rFonts w:hint="eastAsia"/>
          <w:bCs/>
          <w:sz w:val="20"/>
          <w:szCs w:val="20"/>
        </w:rPr>
        <w:t xml:space="preserve">BMCase2_v000, 3GPP TSG RAN1#112-bis-e, April 2023. </w:t>
      </w:r>
    </w:p>
    <w:p>
      <w:pPr>
        <w:pStyle w:val="116"/>
        <w:spacing w:before="72" w:beforeLines="30" w:after="72" w:afterLines="30" w:line="288" w:lineRule="auto"/>
        <w:ind w:left="363" w:hanging="363"/>
        <w:jc w:val="both"/>
        <w:rPr>
          <w:bCs/>
          <w:sz w:val="20"/>
          <w:szCs w:val="20"/>
        </w:rPr>
      </w:pPr>
      <w:r>
        <w:rPr>
          <w:rFonts w:hint="eastAsia"/>
          <w:bCs/>
          <w:sz w:val="20"/>
          <w:szCs w:val="20"/>
        </w:rPr>
        <w:t xml:space="preserve">BMCase2_Generalization_v000, simulation result collection excel, 3GPP TSG RAN1#112-bis-e, April 2023. </w:t>
      </w:r>
    </w:p>
    <w:p>
      <w:pPr>
        <w:pStyle w:val="74"/>
        <w:snapToGrid w:val="0"/>
        <w:rPr>
          <w:bCs/>
          <w:sz w:val="20"/>
          <w:szCs w:val="20"/>
        </w:rPr>
      </w:pPr>
    </w:p>
    <w:p>
      <w:pPr>
        <w:pStyle w:val="2"/>
        <w:keepNext/>
        <w:keepLines/>
        <w:widowControl/>
        <w:numPr>
          <w:ilvl w:val="0"/>
          <w:numId w:val="0"/>
        </w:numPr>
        <w:pBdr>
          <w:top w:val="single" w:color="auto" w:sz="12" w:space="3"/>
        </w:pBdr>
        <w:tabs>
          <w:tab w:val="left" w:pos="0"/>
          <w:tab w:val="clear" w:pos="432"/>
        </w:tabs>
        <w:autoSpaceDE/>
        <w:autoSpaceDN/>
        <w:adjustRightInd/>
        <w:spacing w:before="72" w:beforeLines="30" w:after="72" w:afterLines="30" w:line="288" w:lineRule="auto"/>
        <w:jc w:val="both"/>
        <w:rPr>
          <w:rFonts w:eastAsia="Arial Unicode MS"/>
          <w:b w:val="0"/>
          <w:bCs w:val="0"/>
          <w:kern w:val="2"/>
          <w:sz w:val="32"/>
          <w:szCs w:val="20"/>
          <w:lang w:val="en-US"/>
        </w:rPr>
      </w:pPr>
      <w:r>
        <w:rPr>
          <w:rFonts w:hint="eastAsia" w:eastAsia="Arial Unicode MS"/>
          <w:b w:val="0"/>
          <w:bCs w:val="0"/>
          <w:kern w:val="2"/>
          <w:sz w:val="32"/>
          <w:szCs w:val="20"/>
          <w:lang w:val="en-US"/>
        </w:rPr>
        <w:t>Appendix</w:t>
      </w:r>
    </w:p>
    <w:p>
      <w:pPr>
        <w:pStyle w:val="100"/>
        <w:widowControl w:val="0"/>
        <w:spacing w:before="72" w:beforeLines="30" w:after="72" w:afterLines="30" w:line="288" w:lineRule="auto"/>
        <w:ind w:firstLine="0" w:firstLineChars="0"/>
        <w:contextualSpacing/>
        <w:jc w:val="both"/>
        <w:rPr>
          <w:sz w:val="20"/>
          <w:szCs w:val="20"/>
        </w:rPr>
      </w:pPr>
      <w:r>
        <w:rPr>
          <w:sz w:val="20"/>
          <w:szCs w:val="20"/>
        </w:rPr>
        <w:t>For dataset generation and performance evaluation for AI/ML in beam management, take the parameters (if applicable) in</w:t>
      </w:r>
      <w:r>
        <w:rPr>
          <w:rFonts w:hint="eastAsia"/>
          <w:sz w:val="20"/>
          <w:szCs w:val="20"/>
        </w:rPr>
        <w:t xml:space="preserve"> the following table </w:t>
      </w:r>
      <w:r>
        <w:rPr>
          <w:sz w:val="20"/>
          <w:szCs w:val="20"/>
        </w:rPr>
        <w:t>for Dense Urban scenario for SLS</w:t>
      </w:r>
      <w:r>
        <w:rPr>
          <w:rFonts w:hint="eastAsia"/>
          <w:sz w:val="20"/>
          <w:szCs w:val="20"/>
        </w:rPr>
        <w:t>.</w:t>
      </w:r>
    </w:p>
    <w:p>
      <w:pPr>
        <w:spacing w:before="72" w:beforeLines="30" w:after="72" w:afterLines="30" w:line="288" w:lineRule="auto"/>
        <w:jc w:val="center"/>
        <w:rPr>
          <w:sz w:val="20"/>
          <w:szCs w:val="20"/>
        </w:rPr>
      </w:pPr>
      <w:r>
        <w:rPr>
          <w:sz w:val="20"/>
          <w:szCs w:val="20"/>
        </w:rPr>
        <w:t>Table I. Assumptions for Dense Urban scenario for AI/ML in beam management</w:t>
      </w:r>
    </w:p>
    <w:tbl>
      <w:tblPr>
        <w:tblStyle w:val="23"/>
        <w:tblW w:w="0" w:type="auto"/>
        <w:jc w:val="center"/>
        <w:tblLayout w:type="autofit"/>
        <w:tblCellMar>
          <w:top w:w="0" w:type="dxa"/>
          <w:left w:w="0" w:type="dxa"/>
          <w:bottom w:w="0" w:type="dxa"/>
          <w:right w:w="0" w:type="dxa"/>
        </w:tblCellMar>
      </w:tblPr>
      <w:tblGrid>
        <w:gridCol w:w="2493"/>
        <w:gridCol w:w="7083"/>
      </w:tblGrid>
      <w:tr>
        <w:trPr>
          <w:jc w:val="center"/>
        </w:trPr>
        <w:tc>
          <w:tcPr>
            <w:tcW w:w="2515"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Parameters</w:t>
            </w:r>
          </w:p>
        </w:tc>
        <w:tc>
          <w:tcPr>
            <w:tcW w:w="72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Values</w:t>
            </w:r>
          </w:p>
        </w:tc>
      </w:tr>
      <w:tr>
        <w:tblPrEx>
          <w:tblCellMar>
            <w:top w:w="0" w:type="dxa"/>
            <w:left w:w="0" w:type="dxa"/>
            <w:bottom w:w="0" w:type="dxa"/>
            <w:right w:w="0" w:type="dxa"/>
          </w:tblCellMar>
        </w:tblPrEx>
        <w:trPr>
          <w:trHeight w:val="377"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Frequency Range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FR2 @ 30 GHz</w:t>
            </w:r>
          </w:p>
          <w:p>
            <w:pPr>
              <w:snapToGrid w:val="0"/>
              <w:spacing w:before="72" w:beforeLines="30" w:after="72" w:afterLines="30" w:line="288" w:lineRule="auto"/>
              <w:rPr>
                <w:sz w:val="20"/>
                <w:szCs w:val="20"/>
              </w:rPr>
            </w:pPr>
            <w:r>
              <w:rPr>
                <w:sz w:val="20"/>
                <w:szCs w:val="20"/>
              </w:rPr>
              <w:t>SCS: 120 kHz</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Deployment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200m ISD,</w:t>
            </w:r>
          </w:p>
          <w:p>
            <w:pPr>
              <w:snapToGrid w:val="0"/>
              <w:spacing w:before="72" w:beforeLines="30" w:after="72" w:afterLines="30" w:line="288" w:lineRule="auto"/>
              <w:rPr>
                <w:sz w:val="20"/>
                <w:szCs w:val="20"/>
              </w:rPr>
            </w:pPr>
            <w:r>
              <w:rPr>
                <w:sz w:val="20"/>
                <w:szCs w:val="20"/>
              </w:rPr>
              <w:t>2-tier model with wrap-around (7 sites, 3 sectors/cells per site)</w:t>
            </w:r>
          </w:p>
          <w:p>
            <w:pPr>
              <w:snapToGrid w:val="0"/>
              <w:spacing w:before="72" w:beforeLines="30" w:after="72" w:afterLines="30" w:line="288" w:lineRule="auto"/>
              <w:rPr>
                <w:sz w:val="20"/>
                <w:szCs w:val="20"/>
              </w:rPr>
            </w:pPr>
            <w:r>
              <w:rPr>
                <w:sz w:val="20"/>
                <w:szCs w:val="20"/>
              </w:rPr>
              <w:t>Other deployment assumption is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Channel mode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UMa with distance-dependent LoS probability function defined in Table 7.4.2-1 in TR 38.901.</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System BW</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80MHz</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UE Speed</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For spatial domain beam prediction, 3km/h</w:t>
            </w:r>
          </w:p>
          <w:p>
            <w:pPr>
              <w:snapToGrid w:val="0"/>
              <w:spacing w:before="72" w:beforeLines="30" w:after="72" w:afterLines="30" w:line="288" w:lineRule="auto"/>
              <w:rPr>
                <w:sz w:val="20"/>
                <w:szCs w:val="20"/>
              </w:rPr>
            </w:pPr>
            <w:r>
              <w:rPr>
                <w:sz w:val="20"/>
                <w:szCs w:val="20"/>
              </w:rPr>
              <w:t>For time domain beam prediction: 30km/h (baseline), 60km/h (optional)</w:t>
            </w:r>
          </w:p>
          <w:p>
            <w:pPr>
              <w:snapToGrid w:val="0"/>
              <w:spacing w:before="72" w:beforeLines="30" w:after="72" w:afterLines="30" w:line="288" w:lineRule="auto"/>
              <w:rPr>
                <w:sz w:val="20"/>
                <w:szCs w:val="20"/>
              </w:rPr>
            </w:pPr>
            <w:r>
              <w:rPr>
                <w:sz w:val="20"/>
                <w:szCs w:val="20"/>
              </w:rPr>
              <w:t>Other values are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UE distribution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FFS UEs per sector/cell for evaluation. More UEs per sector/cell for data generation is not precluded.</w:t>
            </w:r>
          </w:p>
          <w:p>
            <w:pPr>
              <w:snapToGrid w:val="0"/>
              <w:spacing w:before="72" w:beforeLines="30" w:after="72" w:afterLines="30" w:line="288" w:lineRule="auto"/>
              <w:rPr>
                <w:sz w:val="20"/>
                <w:szCs w:val="20"/>
              </w:rPr>
            </w:pPr>
            <w:r>
              <w:rPr>
                <w:sz w:val="20"/>
                <w:szCs w:val="20"/>
              </w:rPr>
              <w:t> </w:t>
            </w:r>
          </w:p>
          <w:p>
            <w:pPr>
              <w:snapToGrid w:val="0"/>
              <w:spacing w:before="72" w:beforeLines="30" w:after="72" w:afterLines="30" w:line="288" w:lineRule="auto"/>
              <w:rPr>
                <w:sz w:val="20"/>
                <w:szCs w:val="20"/>
              </w:rPr>
            </w:pPr>
            <w:r>
              <w:rPr>
                <w:sz w:val="20"/>
                <w:szCs w:val="20"/>
              </w:rPr>
              <w:t>For spatial domain beam prediction: FFS:</w:t>
            </w:r>
          </w:p>
          <w:p>
            <w:pPr>
              <w:snapToGrid w:val="0"/>
              <w:spacing w:before="72" w:beforeLines="30" w:after="72" w:afterLines="30" w:line="288" w:lineRule="auto"/>
              <w:rPr>
                <w:sz w:val="20"/>
                <w:szCs w:val="20"/>
              </w:rPr>
            </w:pPr>
            <w:r>
              <w:rPr>
                <w:sz w:val="20"/>
                <w:szCs w:val="20"/>
              </w:rPr>
              <w:t>Option 1: 80% indoor ,20% outdoor as in TR 38.901</w:t>
            </w:r>
          </w:p>
          <w:p>
            <w:pPr>
              <w:snapToGrid w:val="0"/>
              <w:spacing w:before="72" w:beforeLines="30" w:after="72" w:afterLines="30" w:line="288" w:lineRule="auto"/>
              <w:rPr>
                <w:sz w:val="20"/>
                <w:szCs w:val="20"/>
              </w:rPr>
            </w:pPr>
            <w:r>
              <w:rPr>
                <w:sz w:val="20"/>
                <w:szCs w:val="20"/>
              </w:rPr>
              <w:t>Option 2: 100% outdoor</w:t>
            </w:r>
          </w:p>
          <w:p>
            <w:pPr>
              <w:snapToGrid w:val="0"/>
              <w:spacing w:before="72" w:beforeLines="30" w:after="72" w:afterLines="30" w:line="288" w:lineRule="auto"/>
              <w:rPr>
                <w:sz w:val="20"/>
                <w:szCs w:val="20"/>
              </w:rPr>
            </w:pPr>
            <w:r>
              <w:rPr>
                <w:sz w:val="20"/>
                <w:szCs w:val="20"/>
              </w:rPr>
              <w:t>For time domain prediction: 100% outdoor</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Transmission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Maximum Power and Maximum EIRP for base station and UE as given by corresponding scenario in 38.802 (Table A.2.1-1 and Table A.2.1-2)</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BS Antenna Configuration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 [One panel: </w:t>
            </w:r>
            <w:r>
              <w:rPr>
                <w:sz w:val="20"/>
                <w:szCs w:val="20"/>
                <w:lang w:val="en-GB"/>
              </w:rPr>
              <w:t>(M, N, P, Mg, Ng) = (4, 8, 2, 1, 1), </w:t>
            </w:r>
            <w:r>
              <w:rPr>
                <w:sz w:val="20"/>
                <w:szCs w:val="20"/>
              </w:rPr>
              <w:t>(dV, dH) = (0.5, 0.5) </w:t>
            </w:r>
            <w:r>
              <w:rPr>
                <w:sz w:val="20"/>
                <w:szCs w:val="20"/>
                <w:lang w:val="en-GB"/>
              </w:rPr>
              <w:t>λ as baseline]</w:t>
            </w:r>
          </w:p>
          <w:p>
            <w:pPr>
              <w:snapToGrid w:val="0"/>
              <w:spacing w:before="72" w:beforeLines="30" w:after="72" w:afterLines="30" w:line="288" w:lineRule="auto"/>
              <w:rPr>
                <w:sz w:val="20"/>
                <w:szCs w:val="20"/>
              </w:rPr>
            </w:pPr>
            <w:r>
              <w:rPr>
                <w:sz w:val="20"/>
                <w:szCs w:val="20"/>
              </w:rPr>
              <w:t>· [Four panels: </w:t>
            </w:r>
            <w:r>
              <w:rPr>
                <w:sz w:val="20"/>
                <w:szCs w:val="20"/>
                <w:lang w:val="en-GB"/>
              </w:rPr>
              <w:t>(M, N, P, Mg, Ng) = (4, 8, 2, 2, 2), </w:t>
            </w:r>
            <w:r>
              <w:rPr>
                <w:sz w:val="20"/>
                <w:szCs w:val="20"/>
              </w:rPr>
              <w:t>(dV, dH) = (0.5, 0.5) </w:t>
            </w:r>
            <w:r>
              <w:rPr>
                <w:sz w:val="20"/>
                <w:szCs w:val="20"/>
                <w:lang w:val="en-GB"/>
              </w:rPr>
              <w:t>λ</w:t>
            </w:r>
            <w:r>
              <w:rPr>
                <w:sz w:val="20"/>
                <w:szCs w:val="20"/>
              </w:rPr>
              <w:t>. (dg,V, dg,H) = (2.0, 4.0) </w:t>
            </w:r>
            <w:r>
              <w:rPr>
                <w:sz w:val="20"/>
                <w:szCs w:val="20"/>
                <w:lang w:val="en-GB"/>
              </w:rPr>
              <w:t>λ as optional]</w:t>
            </w:r>
          </w:p>
          <w:p>
            <w:pPr>
              <w:snapToGrid w:val="0"/>
              <w:spacing w:before="72" w:beforeLines="30" w:after="72" w:afterLines="30" w:line="288" w:lineRule="auto"/>
              <w:rPr>
                <w:sz w:val="20"/>
                <w:szCs w:val="20"/>
              </w:rPr>
            </w:pPr>
            <w:r>
              <w:rPr>
                <w:sz w:val="20"/>
                <w:szCs w:val="20"/>
              </w:rPr>
              <w:t>· Other assumptions are not precluded.</w:t>
            </w:r>
          </w:p>
          <w:p>
            <w:pPr>
              <w:snapToGrid w:val="0"/>
              <w:spacing w:before="72" w:beforeLines="30" w:after="72" w:afterLines="30" w:line="288" w:lineRule="auto"/>
              <w:rPr>
                <w:sz w:val="20"/>
                <w:szCs w:val="20"/>
              </w:rPr>
            </w:pPr>
            <w:r>
              <w:rPr>
                <w:sz w:val="20"/>
                <w:szCs w:val="20"/>
              </w:rPr>
              <w:t> </w:t>
            </w:r>
          </w:p>
          <w:p>
            <w:pPr>
              <w:snapToGrid w:val="0"/>
              <w:spacing w:before="72" w:beforeLines="30" w:after="72" w:afterLines="30" w:line="288" w:lineRule="auto"/>
              <w:rPr>
                <w:sz w:val="20"/>
                <w:szCs w:val="20"/>
              </w:rPr>
            </w:pPr>
            <w:r>
              <w:rPr>
                <w:sz w:val="20"/>
                <w:szCs w:val="20"/>
              </w:rPr>
              <w:t>Companies to explain TXRU weights mapping.</w:t>
            </w:r>
          </w:p>
          <w:p>
            <w:pPr>
              <w:snapToGrid w:val="0"/>
              <w:spacing w:before="72" w:beforeLines="30" w:after="72" w:afterLines="30" w:line="288" w:lineRule="auto"/>
              <w:rPr>
                <w:sz w:val="20"/>
                <w:szCs w:val="20"/>
              </w:rPr>
            </w:pPr>
            <w:r>
              <w:rPr>
                <w:sz w:val="20"/>
                <w:szCs w:val="20"/>
              </w:rPr>
              <w:t>Companies to explain beam selection.</w:t>
            </w:r>
          </w:p>
          <w:p>
            <w:pPr>
              <w:snapToGrid w:val="0"/>
              <w:spacing w:before="72" w:beforeLines="30" w:after="72" w:afterLines="30" w:line="288" w:lineRule="auto"/>
              <w:rPr>
                <w:sz w:val="20"/>
                <w:szCs w:val="20"/>
              </w:rPr>
            </w:pPr>
            <w:r>
              <w:rPr>
                <w:sz w:val="20"/>
                <w:szCs w:val="20"/>
              </w:rPr>
              <w:t>Companies to explain number of BS beams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BS Antenna radiation pattern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TR 38.802 Table A.2.1-6, Table A.2.1-7</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UE Antenna Configuration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[Panel structure: (M, N, P) = (1,4,2)]</w:t>
            </w:r>
          </w:p>
          <w:p>
            <w:pPr>
              <w:snapToGrid w:val="0"/>
              <w:spacing w:before="72" w:beforeLines="30" w:after="72" w:afterLines="30" w:line="288" w:lineRule="auto"/>
              <w:rPr>
                <w:sz w:val="20"/>
                <w:szCs w:val="20"/>
              </w:rPr>
            </w:pPr>
            <w:r>
              <w:rPr>
                <w:sz w:val="20"/>
                <w:szCs w:val="20"/>
              </w:rPr>
              <w:t>·         2 panels (left, right) with (Mg, Ng) = (1, 2) as baseline</w:t>
            </w:r>
          </w:p>
          <w:p>
            <w:pPr>
              <w:snapToGrid w:val="0"/>
              <w:spacing w:before="72" w:beforeLines="30" w:after="72" w:afterLines="30" w:line="288" w:lineRule="auto"/>
              <w:rPr>
                <w:sz w:val="20"/>
                <w:szCs w:val="20"/>
              </w:rPr>
            </w:pPr>
            <w:r>
              <w:rPr>
                <w:sz w:val="20"/>
                <w:szCs w:val="20"/>
              </w:rPr>
              <w:t>·         Other assumptions are not precluded</w:t>
            </w:r>
          </w:p>
          <w:p>
            <w:pPr>
              <w:snapToGrid w:val="0"/>
              <w:spacing w:before="72" w:beforeLines="30" w:after="72" w:afterLines="30" w:line="288" w:lineRule="auto"/>
              <w:rPr>
                <w:sz w:val="20"/>
                <w:szCs w:val="20"/>
              </w:rPr>
            </w:pPr>
            <w:r>
              <w:rPr>
                <w:sz w:val="20"/>
                <w:szCs w:val="20"/>
              </w:rPr>
              <w:t> </w:t>
            </w:r>
          </w:p>
          <w:p>
            <w:pPr>
              <w:snapToGrid w:val="0"/>
              <w:spacing w:before="72" w:beforeLines="30" w:after="72" w:afterLines="30" w:line="288" w:lineRule="auto"/>
              <w:rPr>
                <w:sz w:val="20"/>
                <w:szCs w:val="20"/>
              </w:rPr>
            </w:pPr>
            <w:r>
              <w:rPr>
                <w:sz w:val="20"/>
                <w:szCs w:val="20"/>
              </w:rPr>
              <w:t>Companies to explain TXRU weights mapping.</w:t>
            </w:r>
          </w:p>
          <w:p>
            <w:pPr>
              <w:snapToGrid w:val="0"/>
              <w:spacing w:before="72" w:beforeLines="30" w:after="72" w:afterLines="30" w:line="288" w:lineRule="auto"/>
              <w:rPr>
                <w:sz w:val="20"/>
                <w:szCs w:val="20"/>
              </w:rPr>
            </w:pPr>
            <w:r>
              <w:rPr>
                <w:sz w:val="20"/>
                <w:szCs w:val="20"/>
              </w:rPr>
              <w:t>Companies to explain beam and panel selection.</w:t>
            </w:r>
          </w:p>
          <w:p>
            <w:pPr>
              <w:snapToGrid w:val="0"/>
              <w:spacing w:before="72" w:beforeLines="30" w:after="72" w:afterLines="30" w:line="288" w:lineRule="auto"/>
              <w:rPr>
                <w:sz w:val="20"/>
                <w:szCs w:val="20"/>
              </w:rPr>
            </w:pPr>
            <w:r>
              <w:rPr>
                <w:sz w:val="20"/>
                <w:szCs w:val="20"/>
              </w:rPr>
              <w:t>Companies to explain number of UE beams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UE Antenna radiation pattern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TR 38.802 Table A.2.1-8, Table A.2.1-10</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Beam correspondence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Companies to explain beam correspondence assumptions (in accordance to the two types agreed in RAN4)</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Link adaptation</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Based on CSI-RS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Traffic Model</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FFS:</w:t>
            </w:r>
          </w:p>
          <w:p>
            <w:pPr>
              <w:snapToGrid w:val="0"/>
              <w:spacing w:before="72" w:beforeLines="30" w:after="72" w:afterLines="30" w:line="288" w:lineRule="auto"/>
              <w:rPr>
                <w:sz w:val="20"/>
                <w:szCs w:val="20"/>
              </w:rPr>
            </w:pPr>
            <w:r>
              <w:rPr>
                <w:sz w:val="20"/>
                <w:szCs w:val="20"/>
              </w:rPr>
              <w:t>Option 1: Full buffer</w:t>
            </w:r>
          </w:p>
          <w:p>
            <w:pPr>
              <w:snapToGrid w:val="0"/>
              <w:spacing w:before="72" w:beforeLines="30" w:after="72" w:afterLines="30" w:line="288" w:lineRule="auto"/>
              <w:rPr>
                <w:sz w:val="20"/>
                <w:szCs w:val="20"/>
              </w:rPr>
            </w:pPr>
            <w:r>
              <w:rPr>
                <w:sz w:val="20"/>
                <w:szCs w:val="20"/>
              </w:rPr>
              <w:t>Option 2: FTP model</w:t>
            </w:r>
          </w:p>
          <w:p>
            <w:pPr>
              <w:snapToGrid w:val="0"/>
              <w:spacing w:before="72" w:beforeLines="30" w:after="72" w:afterLines="30" w:line="288" w:lineRule="auto"/>
              <w:rPr>
                <w:sz w:val="20"/>
                <w:szCs w:val="20"/>
              </w:rPr>
            </w:pPr>
            <w:r>
              <w:rPr>
                <w:sz w:val="20"/>
                <w:szCs w:val="20"/>
              </w:rPr>
              <w:t>Other options are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Inter-panel calibration for UE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Ideal, non-ideal following 38.802 (optional) – Explain any errors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Control and RS overhead</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Companies report details of the assumptions</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Control channel decoding</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Ideal or Non-ideal (Companies explain how it is modelled)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UE receiver type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MMSE-IRC as the baseline, other advanced receiver is not precluded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BF scheme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Companies explain what scheme is used</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Transmission scheme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snapToGrid w:val="0"/>
              <w:spacing w:before="72" w:beforeLines="30" w:after="72" w:afterLines="30" w:line="288" w:lineRule="auto"/>
              <w:rPr>
                <w:sz w:val="20"/>
                <w:szCs w:val="20"/>
              </w:rPr>
            </w:pPr>
            <w:r>
              <w:rPr>
                <w:sz w:val="20"/>
                <w:szCs w:val="20"/>
              </w:rPr>
              <w:t>Multi-antenna port transmission schemes</w:t>
            </w:r>
          </w:p>
          <w:p>
            <w:pPr>
              <w:snapToGrid w:val="0"/>
              <w:spacing w:before="72" w:beforeLines="30" w:after="72" w:afterLines="30" w:line="288" w:lineRule="auto"/>
              <w:rPr>
                <w:sz w:val="20"/>
                <w:szCs w:val="20"/>
              </w:rPr>
            </w:pPr>
            <w:r>
              <w:rPr>
                <w:sz w:val="20"/>
                <w:szCs w:val="20"/>
              </w:rPr>
              <w:t>Note: Companies explain details of the using transmission scheme.</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Other simulation assumptions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Companies to explain serving TRP selection</w:t>
            </w:r>
          </w:p>
          <w:p>
            <w:pPr>
              <w:snapToGrid w:val="0"/>
              <w:spacing w:before="72" w:beforeLines="30" w:after="72" w:afterLines="30" w:line="288" w:lineRule="auto"/>
              <w:rPr>
                <w:sz w:val="20"/>
                <w:szCs w:val="20"/>
              </w:rPr>
            </w:pPr>
            <w:r>
              <w:rPr>
                <w:sz w:val="20"/>
                <w:szCs w:val="20"/>
              </w:rPr>
              <w:t>Companies to explain scheduling algorithm</w:t>
            </w:r>
          </w:p>
        </w:tc>
      </w:tr>
      <w:tr>
        <w:tblPrEx>
          <w:tblCellMar>
            <w:top w:w="0" w:type="dxa"/>
            <w:left w:w="0" w:type="dxa"/>
            <w:bottom w:w="0" w:type="dxa"/>
            <w:right w:w="0" w:type="dxa"/>
          </w:tblCellMar>
        </w:tblPrEx>
        <w:trPr>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Other potential impairments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Not modelled (assumed ideal).</w:t>
            </w:r>
          </w:p>
          <w:p>
            <w:pPr>
              <w:snapToGrid w:val="0"/>
              <w:spacing w:before="72" w:beforeLines="30" w:after="72" w:afterLines="30" w:line="288" w:lineRule="auto"/>
              <w:rPr>
                <w:sz w:val="20"/>
                <w:szCs w:val="20"/>
              </w:rPr>
            </w:pPr>
            <w:r>
              <w:rPr>
                <w:sz w:val="20"/>
                <w:szCs w:val="20"/>
              </w:rPr>
              <w:t>If impairments are included, companies will report the details of the assumed impairments</w:t>
            </w:r>
          </w:p>
        </w:tc>
      </w:tr>
      <w:tr>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BS Tx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[40 dBm]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Maximum UE Tx Power</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23 dBm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BS receiver Noise Figure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7 dB</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UE receiver Noise Figure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10 dB</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Inter site distance</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200m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BS Antenna height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25m</w:t>
            </w:r>
          </w:p>
        </w:tc>
      </w:tr>
      <w:tr>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UE Antenna height</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1.5 m</w:t>
            </w:r>
          </w:p>
        </w:tc>
      </w:tr>
      <w:tr>
        <w:tblPrEx>
          <w:tblCellMar>
            <w:top w:w="0" w:type="dxa"/>
            <w:left w:w="0" w:type="dxa"/>
            <w:bottom w:w="0" w:type="dxa"/>
            <w:right w:w="0" w:type="dxa"/>
          </w:tblCellMar>
        </w:tblPrEx>
        <w:trPr>
          <w:trHeight w:val="54" w:hRule="atLeast"/>
          <w:jc w:val="center"/>
        </w:trPr>
        <w:tc>
          <w:tcPr>
            <w:tcW w:w="2515" w:type="dxa"/>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Car penetration Loss</w:t>
            </w:r>
          </w:p>
        </w:tc>
        <w:tc>
          <w:tcPr>
            <w:tcW w:w="7200" w:type="dxa"/>
            <w:tcBorders>
              <w:top w:val="nil"/>
              <w:left w:val="nil"/>
              <w:bottom w:val="single" w:color="000000" w:sz="8" w:space="0"/>
              <w:right w:val="single" w:color="000000" w:sz="8" w:space="0"/>
            </w:tcBorders>
            <w:shd w:val="clear" w:color="auto" w:fill="auto"/>
            <w:tcMar>
              <w:top w:w="0" w:type="dxa"/>
              <w:left w:w="108" w:type="dxa"/>
              <w:bottom w:w="0" w:type="dxa"/>
              <w:right w:w="108" w:type="dxa"/>
            </w:tcMar>
          </w:tcPr>
          <w:p>
            <w:pPr>
              <w:snapToGrid w:val="0"/>
              <w:spacing w:before="72" w:beforeLines="30" w:after="72" w:afterLines="30" w:line="288" w:lineRule="auto"/>
              <w:rPr>
                <w:sz w:val="20"/>
                <w:szCs w:val="20"/>
              </w:rPr>
            </w:pPr>
            <w:r>
              <w:rPr>
                <w:sz w:val="20"/>
                <w:szCs w:val="20"/>
              </w:rPr>
              <w:t>38.901, sec 7.4.3.2: μ = 9 dB, σp = 5 dB</w:t>
            </w:r>
          </w:p>
        </w:tc>
      </w:tr>
    </w:tbl>
    <w:p>
      <w:pPr>
        <w:pStyle w:val="74"/>
        <w:snapToGrid w:val="0"/>
        <w:rPr>
          <w:bCs/>
          <w:sz w:val="20"/>
          <w:szCs w:val="20"/>
        </w:rPr>
      </w:pPr>
    </w:p>
    <w:p>
      <w:pPr>
        <w:pStyle w:val="74"/>
        <w:snapToGrid w:val="0"/>
        <w:rPr>
          <w:bCs/>
          <w:sz w:val="20"/>
          <w:szCs w:val="20"/>
        </w:rPr>
      </w:pPr>
    </w:p>
    <w:tbl>
      <w:tblPr>
        <w:tblStyle w:val="24"/>
        <w:tblW w:w="0" w:type="auto"/>
        <w:tblInd w:w="0" w:type="dxa"/>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Layout w:type="autofit"/>
        <w:tblCellMar>
          <w:top w:w="0" w:type="dxa"/>
          <w:left w:w="108" w:type="dxa"/>
          <w:bottom w:w="0" w:type="dxa"/>
          <w:right w:w="108" w:type="dxa"/>
        </w:tblCellMar>
      </w:tblPr>
      <w:tblGrid>
        <w:gridCol w:w="9576"/>
      </w:tblGrid>
      <w:tr>
        <w:tblPrEx>
          <w:tblBorders>
            <w:top w:val="single" w:color="auto" w:sz="8" w:space="0"/>
            <w:left w:val="single" w:color="auto" w:sz="8" w:space="0"/>
            <w:bottom w:val="single" w:color="auto" w:sz="8" w:space="0"/>
            <w:right w:val="single" w:color="auto" w:sz="8" w:space="0"/>
            <w:insideH w:val="single" w:color="auto" w:sz="4" w:space="0"/>
            <w:insideV w:val="none" w:color="auto" w:sz="0" w:space="0"/>
          </w:tblBorders>
        </w:tblPrEx>
        <w:tc>
          <w:tcPr>
            <w:tcW w:w="9576" w:type="dxa"/>
            <w:tcBorders>
              <w:tl2br w:val="nil"/>
              <w:tr2bl w:val="nil"/>
            </w:tcBorders>
          </w:tcPr>
          <w:p>
            <w:pPr>
              <w:pStyle w:val="100"/>
              <w:widowControl w:val="0"/>
              <w:snapToGrid w:val="0"/>
              <w:spacing w:before="72" w:beforeLines="30" w:after="72" w:afterLines="30" w:line="288" w:lineRule="auto"/>
              <w:ind w:firstLine="0" w:firstLineChars="0"/>
              <w:contextualSpacing/>
              <w:jc w:val="both"/>
              <w:rPr>
                <w:sz w:val="20"/>
                <w:szCs w:val="20"/>
              </w:rPr>
            </w:pPr>
            <w:r>
              <w:rPr>
                <w:b/>
                <w:bCs/>
                <w:sz w:val="20"/>
                <w:szCs w:val="20"/>
              </w:rPr>
              <w:t>UE trajectory model</w:t>
            </w:r>
            <w:r>
              <w:rPr>
                <w:rFonts w:hint="eastAsia"/>
                <w:b/>
                <w:bCs/>
                <w:sz w:val="20"/>
                <w:szCs w:val="20"/>
              </w:rPr>
              <w:t xml:space="preserve"> </w:t>
            </w:r>
            <w:r>
              <w:rPr>
                <w:b/>
                <w:bCs/>
                <w:sz w:val="20"/>
                <w:szCs w:val="20"/>
              </w:rPr>
              <w:t xml:space="preserve">Option #4: Random direction straight-line trajectories. </w:t>
            </w:r>
          </w:p>
          <w:p>
            <w:pPr>
              <w:pStyle w:val="100"/>
              <w:widowControl w:val="0"/>
              <w:numPr>
                <w:ilvl w:val="0"/>
                <w:numId w:val="18"/>
              </w:numPr>
              <w:snapToGrid w:val="0"/>
              <w:spacing w:before="72" w:beforeLines="30" w:after="72" w:afterLines="30" w:line="288" w:lineRule="auto"/>
              <w:ind w:left="-420" w:firstLine="400"/>
              <w:contextualSpacing/>
              <w:jc w:val="both"/>
              <w:rPr>
                <w:sz w:val="20"/>
                <w:szCs w:val="20"/>
              </w:rPr>
            </w:pPr>
            <w:r>
              <w:rPr>
                <w:sz w:val="20"/>
                <w:szCs w:val="20"/>
              </w:rPr>
              <w:t>Initial UE location, moving direction and speed: UE is randomly dropped in a cell, and an initial moving direction is randomly selected, with a fixed speed.</w:t>
            </w:r>
          </w:p>
          <w:p>
            <w:pPr>
              <w:pStyle w:val="100"/>
              <w:widowControl w:val="0"/>
              <w:numPr>
                <w:ilvl w:val="1"/>
                <w:numId w:val="18"/>
              </w:numPr>
              <w:snapToGrid w:val="0"/>
              <w:spacing w:before="72" w:beforeLines="30" w:after="72" w:afterLines="30" w:line="288" w:lineRule="auto"/>
              <w:ind w:left="0" w:firstLine="400"/>
              <w:contextualSpacing/>
              <w:jc w:val="both"/>
              <w:rPr>
                <w:sz w:val="20"/>
                <w:szCs w:val="20"/>
              </w:rPr>
            </w:pPr>
            <w:r>
              <w:rPr>
                <w:sz w:val="20"/>
                <w:szCs w:val="20"/>
              </w:rPr>
              <w:t>The initial UE location should be randomly drop within the following blue area</w:t>
            </w:r>
          </w:p>
          <w:p>
            <w:pPr>
              <w:pStyle w:val="100"/>
              <w:snapToGrid w:val="0"/>
              <w:spacing w:before="72" w:beforeLines="30" w:after="72" w:afterLines="30" w:line="288" w:lineRule="auto"/>
              <w:ind w:firstLine="0" w:firstLineChars="0"/>
              <w:jc w:val="center"/>
              <w:rPr>
                <w:b/>
                <w:bCs/>
                <w:sz w:val="20"/>
                <w:szCs w:val="20"/>
              </w:rPr>
            </w:pPr>
            <w:r>
              <w:rPr>
                <w:sz w:val="20"/>
                <w:szCs w:val="20"/>
              </w:rPr>
              <w:object>
                <v:shape id="_x0000_i1033" o:spt="75" type="#_x0000_t75" style="height:146.5pt;width:172.5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2" r:id="rId23">
                  <o:LockedField>false</o:LockedField>
                </o:OLEObject>
              </w:object>
            </w:r>
          </w:p>
          <w:p>
            <w:pPr>
              <w:pStyle w:val="100"/>
              <w:snapToGrid w:val="0"/>
              <w:spacing w:before="72" w:beforeLines="30" w:after="72" w:afterLines="30" w:line="288" w:lineRule="auto"/>
              <w:ind w:firstLine="400"/>
              <w:rPr>
                <w:sz w:val="20"/>
                <w:szCs w:val="20"/>
              </w:rPr>
            </w:pPr>
            <w:r>
              <w:rPr>
                <w:sz w:val="20"/>
                <w:szCs w:val="20"/>
              </w:rPr>
              <w:t xml:space="preserve">where d1 is the minimum distance that UE should be away from the BS. </w:t>
            </w:r>
          </w:p>
          <w:p>
            <w:pPr>
              <w:pStyle w:val="100"/>
              <w:widowControl w:val="0"/>
              <w:numPr>
                <w:ilvl w:val="2"/>
                <w:numId w:val="18"/>
              </w:numPr>
              <w:snapToGrid w:val="0"/>
              <w:spacing w:before="72" w:beforeLines="30" w:after="72" w:afterLines="30" w:line="288" w:lineRule="auto"/>
              <w:ind w:left="420" w:firstLine="400"/>
              <w:contextualSpacing/>
              <w:jc w:val="both"/>
              <w:rPr>
                <w:sz w:val="20"/>
                <w:szCs w:val="20"/>
              </w:rPr>
            </w:pPr>
            <w:r>
              <w:rPr>
                <w:sz w:val="20"/>
                <w:szCs w:val="20"/>
              </w:rPr>
              <w:t xml:space="preserve">Each sector is a cell and that the cell association is </w:t>
            </w:r>
            <w:r>
              <w:rPr>
                <w:sz w:val="20"/>
                <w:szCs w:val="20"/>
                <w:u w:val="single"/>
              </w:rPr>
              <w:t>geometry</w:t>
            </w:r>
            <w:r>
              <w:rPr>
                <w:sz w:val="20"/>
                <w:szCs w:val="20"/>
              </w:rPr>
              <w:t xml:space="preserve"> based.</w:t>
            </w:r>
          </w:p>
          <w:p>
            <w:pPr>
              <w:pStyle w:val="100"/>
              <w:widowControl w:val="0"/>
              <w:numPr>
                <w:ilvl w:val="2"/>
                <w:numId w:val="18"/>
              </w:numPr>
              <w:snapToGrid w:val="0"/>
              <w:spacing w:before="72" w:beforeLines="30" w:after="72" w:afterLines="30" w:line="288" w:lineRule="auto"/>
              <w:ind w:left="420" w:firstLine="400"/>
              <w:contextualSpacing/>
              <w:jc w:val="both"/>
              <w:rPr>
                <w:sz w:val="20"/>
                <w:szCs w:val="20"/>
              </w:rPr>
            </w:pPr>
            <w:r>
              <w:rPr>
                <w:sz w:val="20"/>
                <w:szCs w:val="20"/>
              </w:rPr>
              <w:t>During the simulation, inter-cell handover or switching should be disabled.</w:t>
            </w:r>
          </w:p>
          <w:p>
            <w:pPr>
              <w:pStyle w:val="100"/>
              <w:widowControl w:val="0"/>
              <w:numPr>
                <w:ilvl w:val="0"/>
                <w:numId w:val="18"/>
              </w:numPr>
              <w:snapToGrid w:val="0"/>
              <w:spacing w:before="72" w:beforeLines="30" w:after="72" w:afterLines="30" w:line="288" w:lineRule="auto"/>
              <w:ind w:left="-420" w:firstLine="402"/>
              <w:contextualSpacing/>
              <w:jc w:val="both"/>
              <w:rPr>
                <w:b/>
                <w:bCs/>
                <w:sz w:val="20"/>
                <w:szCs w:val="20"/>
                <w:u w:val="single"/>
              </w:rPr>
            </w:pPr>
            <w:r>
              <w:rPr>
                <w:b/>
                <w:bCs/>
                <w:sz w:val="20"/>
                <w:szCs w:val="20"/>
                <w:u w:val="single"/>
              </w:rPr>
              <w:t>For training data generation</w:t>
            </w:r>
          </w:p>
          <w:p>
            <w:pPr>
              <w:pStyle w:val="100"/>
              <w:widowControl w:val="0"/>
              <w:numPr>
                <w:ilvl w:val="1"/>
                <w:numId w:val="18"/>
              </w:numPr>
              <w:snapToGrid w:val="0"/>
              <w:spacing w:before="72" w:beforeLines="30" w:after="72" w:afterLines="30" w:line="288" w:lineRule="auto"/>
              <w:ind w:left="0" w:firstLine="400"/>
              <w:contextualSpacing/>
              <w:jc w:val="both"/>
              <w:rPr>
                <w:sz w:val="20"/>
                <w:szCs w:val="20"/>
              </w:rPr>
            </w:pPr>
            <w:r>
              <w:rPr>
                <w:sz w:val="20"/>
                <w:szCs w:val="20"/>
              </w:rPr>
              <w:t>For each UE moving trajectory: the total length of the UE trajectory can be set as T second if it is in time, of set as D meter if it is in distance.</w:t>
            </w:r>
          </w:p>
          <w:p>
            <w:pPr>
              <w:pStyle w:val="100"/>
              <w:widowControl w:val="0"/>
              <w:numPr>
                <w:ilvl w:val="2"/>
                <w:numId w:val="18"/>
              </w:numPr>
              <w:snapToGrid w:val="0"/>
              <w:spacing w:before="72" w:beforeLines="30" w:after="72" w:afterLines="30" w:line="288" w:lineRule="auto"/>
              <w:ind w:left="420" w:firstLine="400"/>
              <w:contextualSpacing/>
              <w:jc w:val="both"/>
              <w:rPr>
                <w:sz w:val="20"/>
                <w:szCs w:val="20"/>
              </w:rPr>
            </w:pPr>
            <w:r>
              <w:rPr>
                <w:sz w:val="20"/>
                <w:szCs w:val="20"/>
              </w:rPr>
              <w:t>The value of T (or D) can be further discussed</w:t>
            </w:r>
          </w:p>
          <w:p>
            <w:pPr>
              <w:pStyle w:val="100"/>
              <w:widowControl w:val="0"/>
              <w:numPr>
                <w:ilvl w:val="2"/>
                <w:numId w:val="18"/>
              </w:numPr>
              <w:snapToGrid w:val="0"/>
              <w:spacing w:before="72" w:beforeLines="30" w:after="72" w:afterLines="30" w:line="288" w:lineRule="auto"/>
              <w:ind w:left="420" w:firstLine="400"/>
              <w:contextualSpacing/>
              <w:jc w:val="both"/>
              <w:rPr>
                <w:sz w:val="20"/>
                <w:szCs w:val="20"/>
              </w:rPr>
            </w:pPr>
            <w:r>
              <w:rPr>
                <w:sz w:val="20"/>
                <w:szCs w:val="20"/>
              </w:rPr>
              <w:t xml:space="preserve">The trajectory sampling interval granularity depends on UE speed and it can be further discussed. </w:t>
            </w:r>
          </w:p>
          <w:p>
            <w:pPr>
              <w:pStyle w:val="100"/>
              <w:widowControl w:val="0"/>
              <w:numPr>
                <w:ilvl w:val="1"/>
                <w:numId w:val="18"/>
              </w:numPr>
              <w:snapToGrid w:val="0"/>
              <w:spacing w:before="72" w:beforeLines="30" w:after="72" w:afterLines="30" w:line="288" w:lineRule="auto"/>
              <w:ind w:left="0" w:firstLine="400"/>
              <w:contextualSpacing/>
              <w:jc w:val="both"/>
              <w:rPr>
                <w:sz w:val="20"/>
                <w:szCs w:val="20"/>
              </w:rPr>
            </w:pPr>
            <w:r>
              <w:rPr>
                <w:sz w:val="20"/>
                <w:szCs w:val="20"/>
              </w:rPr>
              <w:t>UE can move straightly along the entire trajectory, or</w:t>
            </w:r>
          </w:p>
          <w:p>
            <w:pPr>
              <w:pStyle w:val="100"/>
              <w:widowControl w:val="0"/>
              <w:numPr>
                <w:ilvl w:val="1"/>
                <w:numId w:val="18"/>
              </w:numPr>
              <w:snapToGrid w:val="0"/>
              <w:spacing w:before="72" w:beforeLines="30" w:after="72" w:afterLines="30" w:line="288" w:lineRule="auto"/>
              <w:ind w:left="0" w:firstLine="400"/>
              <w:contextualSpacing/>
              <w:jc w:val="both"/>
              <w:rPr>
                <w:sz w:val="20"/>
                <w:szCs w:val="20"/>
              </w:rPr>
            </w:pPr>
            <w:r>
              <w:rPr>
                <w:sz w:val="20"/>
                <w:szCs w:val="20"/>
              </w:rPr>
              <w:t xml:space="preserve">UE can move straightly during the time interval, where the time interval is provided by using an exponential distribution with average interval length </w:t>
            </w:r>
            <w:r>
              <w:rPr>
                <w:sz w:val="20"/>
                <w:szCs w:val="20"/>
              </w:rPr>
              <w:fldChar w:fldCharType="begin"/>
            </w:r>
            <w:r>
              <w:rPr>
                <w:sz w:val="20"/>
                <w:szCs w:val="20"/>
              </w:rPr>
              <w:instrText xml:space="preserve"> QUOTE </w:instrText>
            </w:r>
            <w:r>
              <w:rPr>
                <w:position w:val="-5"/>
                <w:sz w:val="20"/>
                <w:szCs w:val="20"/>
              </w:rPr>
              <w:pict>
                <v:shape id="_x0000_i1034" o:spt="75" type="#_x0000_t75" style="height:12pt;width:12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aa/wb: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sz w:val="20"/>
                <w:szCs w:val="20"/>
              </w:rPr>
              <w:instrText xml:space="preserve"> </w:instrText>
            </w:r>
            <w:r>
              <w:rPr>
                <w:sz w:val="20"/>
                <w:szCs w:val="20"/>
              </w:rPr>
              <w:fldChar w:fldCharType="separate"/>
            </w:r>
            <w:r>
              <w:rPr>
                <w:position w:val="-5"/>
                <w:sz w:val="20"/>
                <w:szCs w:val="20"/>
              </w:rPr>
              <w:pict>
                <v:shape id="_x0000_i1035" o:spt="75" type="#_x0000_t75" style="height:12pt;width:12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3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1&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7B&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A98&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3B0&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0D3&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D26&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45C&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214&quot;/&gt;&lt;wsp:rsid wsp:val=&quot;000F141F&quot;/&gt;&lt;wsp:rsid wsp:val=&quot;000F1531&quot;/&gt;&lt;wsp:rsid wsp:val=&quot;000F15F8&quot;/&gt;&lt;wsp:rsid wsp:val=&quot;000F1A8F&quot;/&gt;&lt;wsp:rsid wsp:val=&quot;000F1E21&quot;/&gt;&lt;wsp:rsid wsp:val=&quot;000F1E69&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07B&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4BF&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28F&quot;/&gt;&lt;wsp:rsid wsp:val=&quot;00173330&quot;/&gt;&lt;wsp:rsid wsp:val=&quot;00173629&quot;/&gt;&lt;wsp:rsid wsp:val=&quot;0017368B&quot;/&gt;&lt;wsp:rsid wsp:val=&quot;00173834&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C41&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97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3FF6&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392&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873&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7AC&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371&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24F&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C52&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64E&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A5B&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41E&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D93&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3CB&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79&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27&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D0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AC1&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749&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6BD&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15&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B30&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1B&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694&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5CE&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3B3&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CCF&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AE&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81&quot;/&gt;&lt;wsp:rsid wsp:val=&quot;005548B9&quot;/&gt;&lt;wsp:rsid wsp:val=&quot;005548C4&quot;/&gt;&lt;wsp:rsid wsp:val=&quot;00554B55&quot;/&gt;&lt;wsp:rsid wsp:val=&quot;00554B86&quot;/&gt;&lt;wsp:rsid wsp:val=&quot;00554C47&quot;/&gt;&lt;wsp:rsid wsp:val=&quot;00554C7D&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8CB&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50D&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06&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A&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0F&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17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2FBF&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904&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0EA&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9A8&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D2E&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3CE&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4B25&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57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286&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6C&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5F2D&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C1F&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82&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68E&quot;/&gt;&lt;wsp:rsid wsp:val=&quot;007B79CE&quot;/&gt;&lt;wsp:rsid wsp:val=&quot;007B7EBC&quot;/&gt;&lt;wsp:rsid wsp:val=&quot;007B7ED2&quot;/&gt;&lt;wsp:rsid wsp:val=&quot;007C01D0&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5E3&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4DD&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9CC&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4FCF&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20&quot;/&gt;&lt;wsp:rsid wsp:val=&quot;00880F3A&quot;/&gt;&lt;wsp:rsid wsp:val=&quot;00880F8B&quot;/&gt;&lt;wsp:rsid wsp:val=&quot;00881194&quot;/&gt;&lt;wsp:rsid wsp:val=&quot;008812A7&quot;/&gt;&lt;wsp:rsid wsp:val=&quot;008814EB&quot;/&gt;&lt;wsp:rsid wsp:val=&quot;0088157F&quot;/&gt;&lt;wsp:rsid wsp:val=&quot;008817A8&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1FD4&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15B&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24&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61&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38&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25&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03&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8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01&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44E&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6D9&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AAE&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70B&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908&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7D8&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E39&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FB1&quot;/&gt;&lt;wsp:rsid wsp:val=&quot;00B1615E&quot;/&gt;&lt;wsp:rsid wsp:val=&quot;00B161CD&quot;/&gt;&lt;wsp:rsid wsp:val=&quot;00B1658C&quot;/&gt;&lt;wsp:rsid wsp:val=&quot;00B16615&quot;/&gt;&lt;wsp:rsid wsp:val=&quot;00B1664B&quot;/&gt;&lt;wsp:rsid wsp:val=&quot;00B166A5&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37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9C6&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71B&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0EB6&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2E1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27&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2BE&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AAE&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5B9&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9CA&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50C&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20&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B2&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CB3&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8A6&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2DD&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8D&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16&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3BC&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727&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53&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645&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651&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4F0&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364&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1D4D&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03F&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DE3&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61B&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9E&quot;/&gt;&lt;wsp:rsid wsp:val=&quot;00D841AE&quot;/&gt;&lt;wsp:rsid wsp:val=&quot;00D842CD&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D58&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4F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6A8&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9F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C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261&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150&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D43&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4B4&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229&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3F3&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61&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B40&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CA4&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C49&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7DD&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463&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0CA4&quot; wsp:rsidP=&quot;00FA0CA4&quot;&gt;&lt;m:oMathPara&gt;&lt;m:oMath&gt;&lt;m:r&gt;&lt;m:rPr&gt;&lt;m:sty m:val=&quot;p&quot;/&gt;&lt;/m:rPr&gt;&lt;w:rPr&gt;&lt;w:rFonts w:ascii=&quot;Cambria Math&quot; w:h-ansi=&quot;Cambria Math&quot;/&gt;&lt;wx:font wx:val=&quot;Cambria Math&quot;/&gt;&lt;/w:rPr&gt;&lt;m:t&gt;Δ&lt;/m:t&gt;&lt;/m:r&gt;&lt;m:r&gt;&lt;w:rPr&gt;&lt;w:rFonts w:ascii=&quot;Cambria Math&quot; w:h-ansi=&quot;Cambria Math&quot;/&gt;&lt;wx:font wx:val=&quot;Cambria Math&quot;/&gt;&lt;w:i/&gt;&lt;/w:rPr&gt;&lt;m:t&gt;T&lt;/m:t&gt;&lt;/m:r&gt;&lt;/m:oMath&gt;&lt;/m:oMathPara&gt;&lt;aa/wb: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sz w:val="20"/>
                <w:szCs w:val="20"/>
              </w:rPr>
              <w:fldChar w:fldCharType="end"/>
            </w:r>
          </w:p>
          <w:p>
            <w:pPr>
              <w:pStyle w:val="100"/>
              <w:widowControl w:val="0"/>
              <w:numPr>
                <w:ilvl w:val="2"/>
                <w:numId w:val="18"/>
              </w:numPr>
              <w:snapToGrid w:val="0"/>
              <w:spacing w:before="72" w:beforeLines="30" w:after="72" w:afterLines="30" w:line="288" w:lineRule="auto"/>
              <w:ind w:left="420" w:firstLine="400"/>
              <w:contextualSpacing/>
              <w:jc w:val="both"/>
              <w:rPr>
                <w:sz w:val="20"/>
                <w:szCs w:val="20"/>
              </w:rPr>
            </w:pPr>
            <w:r>
              <w:rPr>
                <w:sz w:val="20"/>
                <w:szCs w:val="20"/>
              </w:rPr>
              <w:t>UE may change the moving direction at the end of the time interval. UE will change the moving direction with the angle difference A_diff from the beginning of the time interval, provided by using a uniform distribution within [-45°, 45°]</w:t>
            </w:r>
          </w:p>
          <w:p>
            <w:pPr>
              <w:pStyle w:val="100"/>
              <w:widowControl w:val="0"/>
              <w:numPr>
                <w:ilvl w:val="1"/>
                <w:numId w:val="18"/>
              </w:numPr>
              <w:snapToGrid w:val="0"/>
              <w:spacing w:before="72" w:beforeLines="30" w:after="72" w:afterLines="30" w:line="288" w:lineRule="auto"/>
              <w:ind w:left="0" w:firstLine="400"/>
              <w:contextualSpacing/>
              <w:jc w:val="both"/>
              <w:rPr>
                <w:sz w:val="20"/>
                <w:szCs w:val="20"/>
              </w:rPr>
            </w:pPr>
            <w:r>
              <w:rPr>
                <w:sz w:val="20"/>
                <w:szCs w:val="20"/>
              </w:rPr>
              <w:t xml:space="preserve">If the UE trajectory hit the cell boundary (the red line), the trajectory should be terminated. </w:t>
            </w:r>
          </w:p>
          <w:p>
            <w:pPr>
              <w:pStyle w:val="100"/>
              <w:widowControl w:val="0"/>
              <w:numPr>
                <w:ilvl w:val="2"/>
                <w:numId w:val="18"/>
              </w:numPr>
              <w:snapToGrid w:val="0"/>
              <w:spacing w:before="72" w:beforeLines="30" w:after="72" w:afterLines="30" w:line="288" w:lineRule="auto"/>
              <w:ind w:left="420" w:firstLine="400"/>
              <w:contextualSpacing/>
              <w:jc w:val="both"/>
              <w:rPr>
                <w:sz w:val="20"/>
                <w:szCs w:val="20"/>
              </w:rPr>
            </w:pPr>
            <w:r>
              <w:rPr>
                <w:sz w:val="20"/>
                <w:szCs w:val="20"/>
              </w:rPr>
              <w:t xml:space="preserve">If the trajectory length (in time) is less than the length of observation window + prediction window, the trajectory should be discarded. </w:t>
            </w:r>
          </w:p>
          <w:p>
            <w:pPr>
              <w:pStyle w:val="100"/>
              <w:widowControl w:val="0"/>
              <w:numPr>
                <w:ilvl w:val="2"/>
                <w:numId w:val="18"/>
              </w:numPr>
              <w:snapToGrid w:val="0"/>
              <w:spacing w:before="72" w:beforeLines="30" w:after="72" w:afterLines="30" w:line="288" w:lineRule="auto"/>
              <w:ind w:left="420" w:firstLine="400"/>
              <w:contextualSpacing/>
              <w:jc w:val="both"/>
              <w:rPr>
                <w:bCs/>
                <w:sz w:val="20"/>
                <w:szCs w:val="20"/>
              </w:rPr>
            </w:pPr>
            <w:r>
              <w:rPr>
                <w:sz w:val="20"/>
                <w:szCs w:val="20"/>
              </w:rPr>
              <w:t>At the current stage, the length of observation window + prediction window is not fixed and the companies can report their values.</w:t>
            </w:r>
          </w:p>
        </w:tc>
      </w:tr>
    </w:tbl>
    <w:p>
      <w:pPr>
        <w:pStyle w:val="74"/>
        <w:snapToGrid w:val="0"/>
        <w:rPr>
          <w:bCs/>
          <w:sz w:val="20"/>
          <w:szCs w:val="20"/>
        </w:rPr>
      </w:pPr>
    </w:p>
    <w:p>
      <w:pPr>
        <w:jc w:val="center"/>
        <w:rPr>
          <w:sz w:val="20"/>
          <w:szCs w:val="20"/>
          <w:lang w:val="en-GB"/>
        </w:rPr>
      </w:pPr>
    </w:p>
    <w:p>
      <w:pPr>
        <w:pStyle w:val="74"/>
        <w:snapToGrid w:val="0"/>
        <w:rPr>
          <w:bCs/>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E6A28BE8"/>
    <w:multiLevelType w:val="singleLevel"/>
    <w:tmpl w:val="E6A28BE8"/>
    <w:lvl w:ilvl="0" w:tentative="0">
      <w:start w:val="1"/>
      <w:numFmt w:val="bullet"/>
      <w:lvlText w:val=""/>
      <w:lvlJc w:val="left"/>
      <w:pPr>
        <w:tabs>
          <w:tab w:val="left" w:pos="420"/>
        </w:tabs>
        <w:ind w:left="840" w:hanging="420"/>
      </w:pPr>
      <w:rPr>
        <w:rFonts w:hint="default" w:ascii="Wingdings" w:hAnsi="Wingdings"/>
        <w:sz w:val="13"/>
        <w:szCs w:val="13"/>
      </w:rPr>
    </w:lvl>
  </w:abstractNum>
  <w:abstractNum w:abstractNumId="2">
    <w:nsid w:val="0159A3F4"/>
    <w:multiLevelType w:val="singleLevel"/>
    <w:tmpl w:val="0159A3F4"/>
    <w:lvl w:ilvl="0" w:tentative="0">
      <w:start w:val="1"/>
      <w:numFmt w:val="bullet"/>
      <w:lvlText w:val=""/>
      <w:lvlJc w:val="left"/>
      <w:pPr>
        <w:ind w:left="420" w:hanging="420"/>
      </w:pPr>
      <w:rPr>
        <w:rFonts w:hint="default" w:ascii="Wingdings" w:hAnsi="Wingdings"/>
        <w:sz w:val="16"/>
        <w:szCs w:val="16"/>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F1B5227"/>
    <w:multiLevelType w:val="multilevel"/>
    <w:tmpl w:val="2F1B5227"/>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116"/>
      <w:lvlText w:val="[%1]"/>
      <w:lvlJc w:val="left"/>
      <w:pPr>
        <w:tabs>
          <w:tab w:val="left" w:pos="360"/>
        </w:tabs>
        <w:ind w:left="360" w:hanging="360"/>
      </w:pPr>
    </w:lvl>
  </w:abstractNum>
  <w:abstractNum w:abstractNumId="7">
    <w:nsid w:val="40135AA8"/>
    <w:multiLevelType w:val="multilevel"/>
    <w:tmpl w:val="40135A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7EC7650"/>
    <w:multiLevelType w:val="multilevel"/>
    <w:tmpl w:val="47EC7650"/>
    <w:lvl w:ilvl="0" w:tentative="0">
      <w:start w:val="1"/>
      <w:numFmt w:val="bullet"/>
      <w:lvlText w:val=""/>
      <w:lvlJc w:val="left"/>
      <w:pPr>
        <w:ind w:left="720" w:hanging="360"/>
      </w:pPr>
      <w:rPr>
        <w:rFonts w:hint="default" w:ascii="Symbol" w:hAnsi="Symbol"/>
        <w:strike w:val="0"/>
        <w:dstrike w:val="0"/>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strike w:val="0"/>
        <w:dstrike w:val="0"/>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0EB4C97"/>
    <w:multiLevelType w:val="multilevel"/>
    <w:tmpl w:val="50EB4C97"/>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ahoma"/>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ahoma"/>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ahoma"/>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5133BD49"/>
    <w:multiLevelType w:val="singleLevel"/>
    <w:tmpl w:val="5133BD49"/>
    <w:lvl w:ilvl="0" w:tentative="0">
      <w:start w:val="1"/>
      <w:numFmt w:val="bullet"/>
      <w:lvlText w:val=""/>
      <w:lvlJc w:val="left"/>
      <w:pPr>
        <w:ind w:left="420" w:hanging="420"/>
      </w:pPr>
      <w:rPr>
        <w:rFonts w:hint="default" w:ascii="Wingdings" w:hAnsi="Wingdings"/>
      </w:rPr>
    </w:lvl>
  </w:abstractNum>
  <w:abstractNum w:abstractNumId="11">
    <w:nsid w:val="58BBA192"/>
    <w:multiLevelType w:val="singleLevel"/>
    <w:tmpl w:val="58BBA192"/>
    <w:lvl w:ilvl="0" w:tentative="0">
      <w:start w:val="1"/>
      <w:numFmt w:val="bullet"/>
      <w:lvlText w:val=""/>
      <w:lvlJc w:val="left"/>
      <w:pPr>
        <w:ind w:left="860" w:hanging="420"/>
      </w:pPr>
      <w:rPr>
        <w:rFonts w:hint="default" w:ascii="Wingdings" w:hAnsi="Wingdings"/>
        <w:sz w:val="13"/>
        <w:szCs w:val="13"/>
      </w:rPr>
    </w:lvl>
  </w:abstractNum>
  <w:abstractNum w:abstractNumId="12">
    <w:nsid w:val="5D763755"/>
    <w:multiLevelType w:val="multilevel"/>
    <w:tmpl w:val="5D763755"/>
    <w:lvl w:ilvl="0" w:tentative="0">
      <w:start w:val="1"/>
      <w:numFmt w:val="decimal"/>
      <w:pStyle w:val="35"/>
      <w:lvlText w:val="Proposal %1: "/>
      <w:lvlJc w:val="left"/>
      <w:pPr>
        <w:ind w:left="420" w:hanging="420"/>
      </w:pPr>
      <w:rPr>
        <w:rFonts w:hint="default" w:ascii="Times New Roman" w:hAnsi="Times New Roman"/>
        <w:i/>
        <w:i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0110F9F"/>
    <w:multiLevelType w:val="multilevel"/>
    <w:tmpl w:val="70110F9F"/>
    <w:lvl w:ilvl="0" w:tentative="0">
      <w:start w:val="1"/>
      <w:numFmt w:val="decimal"/>
      <w:pStyle w:val="117"/>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DC436CD"/>
    <w:multiLevelType w:val="singleLevel"/>
    <w:tmpl w:val="7DC436CD"/>
    <w:lvl w:ilvl="0" w:tentative="0">
      <w:start w:val="1"/>
      <w:numFmt w:val="bullet"/>
      <w:pStyle w:val="118"/>
      <w:lvlText w:val="•"/>
      <w:lvlJc w:val="left"/>
      <w:pPr>
        <w:tabs>
          <w:tab w:val="left" w:pos="420"/>
        </w:tabs>
        <w:ind w:left="420" w:hanging="378"/>
      </w:pPr>
      <w:rPr>
        <w:rFonts w:hint="default" w:ascii="Arial" w:hAnsi="Arial" w:cs="Arial"/>
      </w:rPr>
    </w:lvl>
  </w:abstractNum>
  <w:num w:numId="1">
    <w:abstractNumId w:val="9"/>
  </w:num>
  <w:num w:numId="2">
    <w:abstractNumId w:val="0"/>
  </w:num>
  <w:num w:numId="3">
    <w:abstractNumId w:val="12"/>
  </w:num>
  <w:num w:numId="4">
    <w:abstractNumId w:val="3"/>
  </w:num>
  <w:num w:numId="5">
    <w:abstractNumId w:val="14"/>
  </w:num>
  <w:num w:numId="6">
    <w:abstractNumId w:val="4"/>
  </w:num>
  <w:num w:numId="7">
    <w:abstractNumId w:val="6"/>
  </w:num>
  <w:num w:numId="8">
    <w:abstractNumId w:val="13"/>
  </w:num>
  <w:num w:numId="9">
    <w:abstractNumId w:val="15"/>
  </w:num>
  <w:num w:numId="10">
    <w:abstractNumId w:val="8"/>
  </w:num>
  <w:num w:numId="11">
    <w:abstractNumId w:val="11"/>
  </w:num>
  <w:num w:numId="12">
    <w:abstractNumId w:val="5"/>
  </w:num>
  <w:num w:numId="13">
    <w:abstractNumId w:val="10"/>
  </w:num>
  <w:num w:numId="14">
    <w:abstractNumId w:val="2"/>
  </w:num>
  <w:num w:numId="15">
    <w:abstractNumId w:val="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0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B8"/>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6F12"/>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567"/>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53F"/>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3E5"/>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BA6"/>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7B"/>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87F4D"/>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5FF"/>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65"/>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BB"/>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D3E"/>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36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10"/>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1F1"/>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35"/>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0BE"/>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B9F"/>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630"/>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88A"/>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907"/>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170"/>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1DC2"/>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C59"/>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2BD7"/>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372"/>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5D"/>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4E2"/>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2E2"/>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0FC"/>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48D4"/>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2D8"/>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63A"/>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0812D9"/>
    <w:rsid w:val="0115454E"/>
    <w:rsid w:val="01242C11"/>
    <w:rsid w:val="013B5510"/>
    <w:rsid w:val="013D13C6"/>
    <w:rsid w:val="01422B07"/>
    <w:rsid w:val="01462EFE"/>
    <w:rsid w:val="01596674"/>
    <w:rsid w:val="015C5851"/>
    <w:rsid w:val="015E0BE9"/>
    <w:rsid w:val="01893120"/>
    <w:rsid w:val="018F1416"/>
    <w:rsid w:val="01AB094A"/>
    <w:rsid w:val="01AE21DC"/>
    <w:rsid w:val="01B306E4"/>
    <w:rsid w:val="01B93E0C"/>
    <w:rsid w:val="01BA548D"/>
    <w:rsid w:val="01BC11F9"/>
    <w:rsid w:val="01D27A5F"/>
    <w:rsid w:val="01E12AB5"/>
    <w:rsid w:val="01E60D14"/>
    <w:rsid w:val="0201370E"/>
    <w:rsid w:val="0201766A"/>
    <w:rsid w:val="020C787D"/>
    <w:rsid w:val="020D48F2"/>
    <w:rsid w:val="02151F95"/>
    <w:rsid w:val="021C66AC"/>
    <w:rsid w:val="021D068A"/>
    <w:rsid w:val="022E47B0"/>
    <w:rsid w:val="023A2048"/>
    <w:rsid w:val="023E7D28"/>
    <w:rsid w:val="02412C71"/>
    <w:rsid w:val="0244465B"/>
    <w:rsid w:val="0251187C"/>
    <w:rsid w:val="02554999"/>
    <w:rsid w:val="02574326"/>
    <w:rsid w:val="025B73D7"/>
    <w:rsid w:val="025B75F9"/>
    <w:rsid w:val="02767EF6"/>
    <w:rsid w:val="02796B77"/>
    <w:rsid w:val="0296744E"/>
    <w:rsid w:val="02A61DB1"/>
    <w:rsid w:val="02A973CE"/>
    <w:rsid w:val="02AF16B7"/>
    <w:rsid w:val="02B34E07"/>
    <w:rsid w:val="02CC03D3"/>
    <w:rsid w:val="02DB5F01"/>
    <w:rsid w:val="02E818F1"/>
    <w:rsid w:val="030C3A42"/>
    <w:rsid w:val="030F5EB8"/>
    <w:rsid w:val="03172920"/>
    <w:rsid w:val="031B3D3A"/>
    <w:rsid w:val="031F12D6"/>
    <w:rsid w:val="03201E0D"/>
    <w:rsid w:val="03300F14"/>
    <w:rsid w:val="03347F12"/>
    <w:rsid w:val="03382F46"/>
    <w:rsid w:val="033940A9"/>
    <w:rsid w:val="033A53C5"/>
    <w:rsid w:val="034B46CD"/>
    <w:rsid w:val="03780152"/>
    <w:rsid w:val="037B2A1F"/>
    <w:rsid w:val="037B7688"/>
    <w:rsid w:val="037C375A"/>
    <w:rsid w:val="037C5BED"/>
    <w:rsid w:val="03806CAA"/>
    <w:rsid w:val="038509B4"/>
    <w:rsid w:val="03871F70"/>
    <w:rsid w:val="038A0546"/>
    <w:rsid w:val="03915486"/>
    <w:rsid w:val="03A718C6"/>
    <w:rsid w:val="03AA5209"/>
    <w:rsid w:val="03AE2B70"/>
    <w:rsid w:val="03C200B6"/>
    <w:rsid w:val="03CB51ED"/>
    <w:rsid w:val="03D545B3"/>
    <w:rsid w:val="03D81924"/>
    <w:rsid w:val="03DA6A4A"/>
    <w:rsid w:val="03E9024B"/>
    <w:rsid w:val="03E925DE"/>
    <w:rsid w:val="03F638B5"/>
    <w:rsid w:val="03FF719F"/>
    <w:rsid w:val="040E748F"/>
    <w:rsid w:val="042B188D"/>
    <w:rsid w:val="04314521"/>
    <w:rsid w:val="043314FB"/>
    <w:rsid w:val="043A302C"/>
    <w:rsid w:val="043B6AB1"/>
    <w:rsid w:val="043F479D"/>
    <w:rsid w:val="04625669"/>
    <w:rsid w:val="046A03D5"/>
    <w:rsid w:val="046C35A2"/>
    <w:rsid w:val="046D4871"/>
    <w:rsid w:val="04771465"/>
    <w:rsid w:val="04825613"/>
    <w:rsid w:val="04847748"/>
    <w:rsid w:val="04890E22"/>
    <w:rsid w:val="0492209E"/>
    <w:rsid w:val="04B01471"/>
    <w:rsid w:val="04B345F7"/>
    <w:rsid w:val="04B6540E"/>
    <w:rsid w:val="04BE3AF8"/>
    <w:rsid w:val="04BE7DD0"/>
    <w:rsid w:val="04C577E2"/>
    <w:rsid w:val="04CB2DE1"/>
    <w:rsid w:val="04E5712B"/>
    <w:rsid w:val="04EB3650"/>
    <w:rsid w:val="04F814D3"/>
    <w:rsid w:val="050D0125"/>
    <w:rsid w:val="051E4426"/>
    <w:rsid w:val="05246FEE"/>
    <w:rsid w:val="0527591C"/>
    <w:rsid w:val="052A7727"/>
    <w:rsid w:val="05372FCB"/>
    <w:rsid w:val="053C0A22"/>
    <w:rsid w:val="054445DB"/>
    <w:rsid w:val="0546768F"/>
    <w:rsid w:val="054A5F28"/>
    <w:rsid w:val="055A06C9"/>
    <w:rsid w:val="05625918"/>
    <w:rsid w:val="05686AE2"/>
    <w:rsid w:val="05702DF2"/>
    <w:rsid w:val="05733EFD"/>
    <w:rsid w:val="057474A6"/>
    <w:rsid w:val="058D2653"/>
    <w:rsid w:val="05930449"/>
    <w:rsid w:val="05A11E98"/>
    <w:rsid w:val="05A540CC"/>
    <w:rsid w:val="05BA29B6"/>
    <w:rsid w:val="05BC5CF2"/>
    <w:rsid w:val="05D96F03"/>
    <w:rsid w:val="05E140B6"/>
    <w:rsid w:val="05E54CC0"/>
    <w:rsid w:val="05E62801"/>
    <w:rsid w:val="05EA3121"/>
    <w:rsid w:val="05EB37CA"/>
    <w:rsid w:val="05EF39F0"/>
    <w:rsid w:val="05F156FC"/>
    <w:rsid w:val="060D79A1"/>
    <w:rsid w:val="060E00E0"/>
    <w:rsid w:val="06175A34"/>
    <w:rsid w:val="06257099"/>
    <w:rsid w:val="06260218"/>
    <w:rsid w:val="062677DA"/>
    <w:rsid w:val="064C4F2B"/>
    <w:rsid w:val="064D243D"/>
    <w:rsid w:val="06552607"/>
    <w:rsid w:val="065632D7"/>
    <w:rsid w:val="065B028A"/>
    <w:rsid w:val="06607FA3"/>
    <w:rsid w:val="06614D3F"/>
    <w:rsid w:val="067751BD"/>
    <w:rsid w:val="06917BA7"/>
    <w:rsid w:val="069365C4"/>
    <w:rsid w:val="06A20062"/>
    <w:rsid w:val="06AB57BC"/>
    <w:rsid w:val="06B00322"/>
    <w:rsid w:val="06C43332"/>
    <w:rsid w:val="06CF7159"/>
    <w:rsid w:val="06D32D7E"/>
    <w:rsid w:val="06D40593"/>
    <w:rsid w:val="06D61884"/>
    <w:rsid w:val="06E21138"/>
    <w:rsid w:val="06E64C63"/>
    <w:rsid w:val="06EA3779"/>
    <w:rsid w:val="06F24EF2"/>
    <w:rsid w:val="06F74405"/>
    <w:rsid w:val="06FC2FE0"/>
    <w:rsid w:val="07002935"/>
    <w:rsid w:val="070166A2"/>
    <w:rsid w:val="071A2AB1"/>
    <w:rsid w:val="071E7A20"/>
    <w:rsid w:val="073908BC"/>
    <w:rsid w:val="07413EDD"/>
    <w:rsid w:val="07470651"/>
    <w:rsid w:val="075815C4"/>
    <w:rsid w:val="07996ED0"/>
    <w:rsid w:val="07A239A7"/>
    <w:rsid w:val="07AE7932"/>
    <w:rsid w:val="07B814E5"/>
    <w:rsid w:val="07D013A8"/>
    <w:rsid w:val="07D648D8"/>
    <w:rsid w:val="07EC1E36"/>
    <w:rsid w:val="07FB4389"/>
    <w:rsid w:val="07FD44E9"/>
    <w:rsid w:val="0805407D"/>
    <w:rsid w:val="08127126"/>
    <w:rsid w:val="08132E8B"/>
    <w:rsid w:val="081D706E"/>
    <w:rsid w:val="081E0F32"/>
    <w:rsid w:val="084371F0"/>
    <w:rsid w:val="084C7728"/>
    <w:rsid w:val="08501073"/>
    <w:rsid w:val="085D519A"/>
    <w:rsid w:val="086D1BC3"/>
    <w:rsid w:val="08706B4B"/>
    <w:rsid w:val="08760DCB"/>
    <w:rsid w:val="0879222E"/>
    <w:rsid w:val="0882247B"/>
    <w:rsid w:val="088B79C8"/>
    <w:rsid w:val="088E4DD4"/>
    <w:rsid w:val="08A11F21"/>
    <w:rsid w:val="08A62BF3"/>
    <w:rsid w:val="08AE49D1"/>
    <w:rsid w:val="08CE61CB"/>
    <w:rsid w:val="08D2064E"/>
    <w:rsid w:val="08F44BC5"/>
    <w:rsid w:val="08FA203B"/>
    <w:rsid w:val="08FF232E"/>
    <w:rsid w:val="09281116"/>
    <w:rsid w:val="093E754B"/>
    <w:rsid w:val="094B14E7"/>
    <w:rsid w:val="095256C8"/>
    <w:rsid w:val="09550092"/>
    <w:rsid w:val="0960041F"/>
    <w:rsid w:val="096311CD"/>
    <w:rsid w:val="097575AF"/>
    <w:rsid w:val="09872B09"/>
    <w:rsid w:val="09912498"/>
    <w:rsid w:val="099B4691"/>
    <w:rsid w:val="09AB29D4"/>
    <w:rsid w:val="09D3423F"/>
    <w:rsid w:val="09E52673"/>
    <w:rsid w:val="0A32370E"/>
    <w:rsid w:val="0A3247B9"/>
    <w:rsid w:val="0A585A2D"/>
    <w:rsid w:val="0A594E3E"/>
    <w:rsid w:val="0A5B6A01"/>
    <w:rsid w:val="0A5C768D"/>
    <w:rsid w:val="0A6213DE"/>
    <w:rsid w:val="0A6D1D60"/>
    <w:rsid w:val="0A6F1291"/>
    <w:rsid w:val="0A6F50FD"/>
    <w:rsid w:val="0A7C4F4C"/>
    <w:rsid w:val="0A8A2474"/>
    <w:rsid w:val="0A934843"/>
    <w:rsid w:val="0A980D85"/>
    <w:rsid w:val="0A9E4A8D"/>
    <w:rsid w:val="0A9F2012"/>
    <w:rsid w:val="0AA33B83"/>
    <w:rsid w:val="0AA55A00"/>
    <w:rsid w:val="0AAA6D9C"/>
    <w:rsid w:val="0AB53627"/>
    <w:rsid w:val="0AB708CC"/>
    <w:rsid w:val="0ACE1EAB"/>
    <w:rsid w:val="0AD34AAC"/>
    <w:rsid w:val="0AE57C7B"/>
    <w:rsid w:val="0AE65CB9"/>
    <w:rsid w:val="0AE96B11"/>
    <w:rsid w:val="0AFB7583"/>
    <w:rsid w:val="0AFD09EB"/>
    <w:rsid w:val="0AFF05E6"/>
    <w:rsid w:val="0B02527D"/>
    <w:rsid w:val="0B07538C"/>
    <w:rsid w:val="0B0F43E9"/>
    <w:rsid w:val="0B1A274D"/>
    <w:rsid w:val="0B221908"/>
    <w:rsid w:val="0B254ED4"/>
    <w:rsid w:val="0B2913C8"/>
    <w:rsid w:val="0B2E5D46"/>
    <w:rsid w:val="0B3A4E5B"/>
    <w:rsid w:val="0B536C32"/>
    <w:rsid w:val="0B5823AA"/>
    <w:rsid w:val="0B595FAD"/>
    <w:rsid w:val="0B5B5F37"/>
    <w:rsid w:val="0B630EA0"/>
    <w:rsid w:val="0B791281"/>
    <w:rsid w:val="0B7A5913"/>
    <w:rsid w:val="0B827907"/>
    <w:rsid w:val="0B8C4C1A"/>
    <w:rsid w:val="0B9549DB"/>
    <w:rsid w:val="0B9D13EC"/>
    <w:rsid w:val="0BA07E46"/>
    <w:rsid w:val="0BA75DC8"/>
    <w:rsid w:val="0BC032D6"/>
    <w:rsid w:val="0BC10793"/>
    <w:rsid w:val="0BC9693D"/>
    <w:rsid w:val="0BD83B7F"/>
    <w:rsid w:val="0BDB1E35"/>
    <w:rsid w:val="0BDB6546"/>
    <w:rsid w:val="0BE71C83"/>
    <w:rsid w:val="0BF35882"/>
    <w:rsid w:val="0C0B4812"/>
    <w:rsid w:val="0C0E4E77"/>
    <w:rsid w:val="0C195365"/>
    <w:rsid w:val="0C24466A"/>
    <w:rsid w:val="0C2A0245"/>
    <w:rsid w:val="0C313BCB"/>
    <w:rsid w:val="0C480674"/>
    <w:rsid w:val="0C6F4E58"/>
    <w:rsid w:val="0C7B0B79"/>
    <w:rsid w:val="0C8E07BE"/>
    <w:rsid w:val="0C9D4DBE"/>
    <w:rsid w:val="0CBC4119"/>
    <w:rsid w:val="0CC12AC9"/>
    <w:rsid w:val="0CCA74B0"/>
    <w:rsid w:val="0CCC3462"/>
    <w:rsid w:val="0CF32DDD"/>
    <w:rsid w:val="0CFB1DB9"/>
    <w:rsid w:val="0D0E7391"/>
    <w:rsid w:val="0D173351"/>
    <w:rsid w:val="0D220294"/>
    <w:rsid w:val="0D2426E6"/>
    <w:rsid w:val="0D261E2D"/>
    <w:rsid w:val="0D352553"/>
    <w:rsid w:val="0D383BAE"/>
    <w:rsid w:val="0D3A4A42"/>
    <w:rsid w:val="0D5368EF"/>
    <w:rsid w:val="0D5773D6"/>
    <w:rsid w:val="0D594DB6"/>
    <w:rsid w:val="0D632B1E"/>
    <w:rsid w:val="0D7D7848"/>
    <w:rsid w:val="0D8E173E"/>
    <w:rsid w:val="0D9113FF"/>
    <w:rsid w:val="0DA10A04"/>
    <w:rsid w:val="0DA344BD"/>
    <w:rsid w:val="0DA87653"/>
    <w:rsid w:val="0DAE1159"/>
    <w:rsid w:val="0DB07263"/>
    <w:rsid w:val="0DF135BB"/>
    <w:rsid w:val="0DF13B47"/>
    <w:rsid w:val="0E094AEE"/>
    <w:rsid w:val="0E0A5187"/>
    <w:rsid w:val="0E332166"/>
    <w:rsid w:val="0E3917FF"/>
    <w:rsid w:val="0E613656"/>
    <w:rsid w:val="0E72787E"/>
    <w:rsid w:val="0E7F55D9"/>
    <w:rsid w:val="0E8E3D3F"/>
    <w:rsid w:val="0E9F5739"/>
    <w:rsid w:val="0EA06E86"/>
    <w:rsid w:val="0EB25FA4"/>
    <w:rsid w:val="0EC3008E"/>
    <w:rsid w:val="0EDB339F"/>
    <w:rsid w:val="0EE37C37"/>
    <w:rsid w:val="0EF635AA"/>
    <w:rsid w:val="0F02484E"/>
    <w:rsid w:val="0F125211"/>
    <w:rsid w:val="0F152A9D"/>
    <w:rsid w:val="0F1E7B0D"/>
    <w:rsid w:val="0F3506C4"/>
    <w:rsid w:val="0F386388"/>
    <w:rsid w:val="0F5241D1"/>
    <w:rsid w:val="0F5B7DA7"/>
    <w:rsid w:val="0F615466"/>
    <w:rsid w:val="0F62047F"/>
    <w:rsid w:val="0F6B41F3"/>
    <w:rsid w:val="0F7657E5"/>
    <w:rsid w:val="0F7A2097"/>
    <w:rsid w:val="0F7F1100"/>
    <w:rsid w:val="0F816B6A"/>
    <w:rsid w:val="0F820458"/>
    <w:rsid w:val="0F82210C"/>
    <w:rsid w:val="0F852BD2"/>
    <w:rsid w:val="0F950757"/>
    <w:rsid w:val="0F9F776E"/>
    <w:rsid w:val="0FA36B70"/>
    <w:rsid w:val="0FA37671"/>
    <w:rsid w:val="0FA8234F"/>
    <w:rsid w:val="0FAC2C6D"/>
    <w:rsid w:val="0FB565AB"/>
    <w:rsid w:val="0FB70395"/>
    <w:rsid w:val="0FBA4112"/>
    <w:rsid w:val="0FBB10D0"/>
    <w:rsid w:val="0FDA6A10"/>
    <w:rsid w:val="0FDD5CFC"/>
    <w:rsid w:val="0FE407A3"/>
    <w:rsid w:val="0FE775DD"/>
    <w:rsid w:val="10031F1F"/>
    <w:rsid w:val="10040C3F"/>
    <w:rsid w:val="10090BFD"/>
    <w:rsid w:val="100B59FA"/>
    <w:rsid w:val="10110CDB"/>
    <w:rsid w:val="10206D1E"/>
    <w:rsid w:val="102F14DE"/>
    <w:rsid w:val="10381C95"/>
    <w:rsid w:val="103A3F9A"/>
    <w:rsid w:val="10496702"/>
    <w:rsid w:val="104E7914"/>
    <w:rsid w:val="105F040B"/>
    <w:rsid w:val="106C57EA"/>
    <w:rsid w:val="107A5169"/>
    <w:rsid w:val="107B4EBF"/>
    <w:rsid w:val="107C4D2C"/>
    <w:rsid w:val="10860FC4"/>
    <w:rsid w:val="10881C30"/>
    <w:rsid w:val="108A6F8A"/>
    <w:rsid w:val="10A32DF1"/>
    <w:rsid w:val="10A50D79"/>
    <w:rsid w:val="10AB24DF"/>
    <w:rsid w:val="10BC51E8"/>
    <w:rsid w:val="10D00D16"/>
    <w:rsid w:val="10D653BA"/>
    <w:rsid w:val="10DA284E"/>
    <w:rsid w:val="10DB6356"/>
    <w:rsid w:val="10EF5ED1"/>
    <w:rsid w:val="10FA2E28"/>
    <w:rsid w:val="1110382D"/>
    <w:rsid w:val="111F78CF"/>
    <w:rsid w:val="112A5200"/>
    <w:rsid w:val="112B7604"/>
    <w:rsid w:val="11306888"/>
    <w:rsid w:val="11354410"/>
    <w:rsid w:val="113B6209"/>
    <w:rsid w:val="115E56E2"/>
    <w:rsid w:val="1168799E"/>
    <w:rsid w:val="11A553EF"/>
    <w:rsid w:val="11A64DBC"/>
    <w:rsid w:val="11AF324A"/>
    <w:rsid w:val="11F27089"/>
    <w:rsid w:val="11FC58DA"/>
    <w:rsid w:val="12020018"/>
    <w:rsid w:val="1205727A"/>
    <w:rsid w:val="12067236"/>
    <w:rsid w:val="12223275"/>
    <w:rsid w:val="122278EE"/>
    <w:rsid w:val="1227663D"/>
    <w:rsid w:val="1228310E"/>
    <w:rsid w:val="12325B1D"/>
    <w:rsid w:val="1244691E"/>
    <w:rsid w:val="12492600"/>
    <w:rsid w:val="1251591B"/>
    <w:rsid w:val="12571A87"/>
    <w:rsid w:val="12610602"/>
    <w:rsid w:val="126B461E"/>
    <w:rsid w:val="127022DE"/>
    <w:rsid w:val="127D72F2"/>
    <w:rsid w:val="12A908D3"/>
    <w:rsid w:val="12AA7F02"/>
    <w:rsid w:val="12D97CF3"/>
    <w:rsid w:val="12DE33CA"/>
    <w:rsid w:val="12E966E4"/>
    <w:rsid w:val="12F568D1"/>
    <w:rsid w:val="12F83A77"/>
    <w:rsid w:val="12FF52DE"/>
    <w:rsid w:val="13036435"/>
    <w:rsid w:val="13164741"/>
    <w:rsid w:val="13344C16"/>
    <w:rsid w:val="1343505A"/>
    <w:rsid w:val="134439CE"/>
    <w:rsid w:val="13544A6B"/>
    <w:rsid w:val="13576455"/>
    <w:rsid w:val="135E7041"/>
    <w:rsid w:val="1372074F"/>
    <w:rsid w:val="137A40BD"/>
    <w:rsid w:val="138D0B40"/>
    <w:rsid w:val="13910B1E"/>
    <w:rsid w:val="13910BD8"/>
    <w:rsid w:val="13B563DA"/>
    <w:rsid w:val="13B85D55"/>
    <w:rsid w:val="13BD31AB"/>
    <w:rsid w:val="13C40680"/>
    <w:rsid w:val="13CD27B6"/>
    <w:rsid w:val="13DD6FC5"/>
    <w:rsid w:val="13E532CA"/>
    <w:rsid w:val="13ED0B0B"/>
    <w:rsid w:val="13ED7D7F"/>
    <w:rsid w:val="13FD046F"/>
    <w:rsid w:val="140D3B33"/>
    <w:rsid w:val="140E5A3D"/>
    <w:rsid w:val="14176353"/>
    <w:rsid w:val="141F7FB3"/>
    <w:rsid w:val="14242FDA"/>
    <w:rsid w:val="14422AB3"/>
    <w:rsid w:val="14436E72"/>
    <w:rsid w:val="14451295"/>
    <w:rsid w:val="144F55C3"/>
    <w:rsid w:val="1450322B"/>
    <w:rsid w:val="145C57A7"/>
    <w:rsid w:val="14637D36"/>
    <w:rsid w:val="146402AB"/>
    <w:rsid w:val="147401DA"/>
    <w:rsid w:val="147E33CA"/>
    <w:rsid w:val="1487373C"/>
    <w:rsid w:val="14960C1B"/>
    <w:rsid w:val="149F3B53"/>
    <w:rsid w:val="14B0700C"/>
    <w:rsid w:val="14C02505"/>
    <w:rsid w:val="14C34089"/>
    <w:rsid w:val="14DB33FC"/>
    <w:rsid w:val="14DE0AFC"/>
    <w:rsid w:val="14EB1AEA"/>
    <w:rsid w:val="14EC09C6"/>
    <w:rsid w:val="14F44F2E"/>
    <w:rsid w:val="151A58E7"/>
    <w:rsid w:val="153562F1"/>
    <w:rsid w:val="15416178"/>
    <w:rsid w:val="1561603B"/>
    <w:rsid w:val="15850E29"/>
    <w:rsid w:val="1587092C"/>
    <w:rsid w:val="158F48E5"/>
    <w:rsid w:val="15A76901"/>
    <w:rsid w:val="15A8766C"/>
    <w:rsid w:val="15B153C9"/>
    <w:rsid w:val="15B42072"/>
    <w:rsid w:val="15C03E3F"/>
    <w:rsid w:val="15C94A90"/>
    <w:rsid w:val="15D13DED"/>
    <w:rsid w:val="15D74588"/>
    <w:rsid w:val="15E12294"/>
    <w:rsid w:val="15EB4378"/>
    <w:rsid w:val="15F56C26"/>
    <w:rsid w:val="15F8446C"/>
    <w:rsid w:val="16027DD8"/>
    <w:rsid w:val="16081DC2"/>
    <w:rsid w:val="160870C3"/>
    <w:rsid w:val="160B185E"/>
    <w:rsid w:val="161071A7"/>
    <w:rsid w:val="1628036C"/>
    <w:rsid w:val="16435A3F"/>
    <w:rsid w:val="16482F95"/>
    <w:rsid w:val="164C339C"/>
    <w:rsid w:val="1659130C"/>
    <w:rsid w:val="16704155"/>
    <w:rsid w:val="16771099"/>
    <w:rsid w:val="16796F0F"/>
    <w:rsid w:val="1688556A"/>
    <w:rsid w:val="16950227"/>
    <w:rsid w:val="16A00FDF"/>
    <w:rsid w:val="16A32AAC"/>
    <w:rsid w:val="16AF0615"/>
    <w:rsid w:val="16BD0B49"/>
    <w:rsid w:val="16C737F9"/>
    <w:rsid w:val="16D37A87"/>
    <w:rsid w:val="16D50CFC"/>
    <w:rsid w:val="16E33AB3"/>
    <w:rsid w:val="16EB76EF"/>
    <w:rsid w:val="17031358"/>
    <w:rsid w:val="170D1AF1"/>
    <w:rsid w:val="17131870"/>
    <w:rsid w:val="171464A1"/>
    <w:rsid w:val="171B0546"/>
    <w:rsid w:val="172465E1"/>
    <w:rsid w:val="17304A49"/>
    <w:rsid w:val="173353C2"/>
    <w:rsid w:val="175C080C"/>
    <w:rsid w:val="17864298"/>
    <w:rsid w:val="17874ED3"/>
    <w:rsid w:val="17886A2C"/>
    <w:rsid w:val="178F26E7"/>
    <w:rsid w:val="17966843"/>
    <w:rsid w:val="17A9660F"/>
    <w:rsid w:val="17BC0CF9"/>
    <w:rsid w:val="17CB428B"/>
    <w:rsid w:val="17D702CD"/>
    <w:rsid w:val="17D80F4C"/>
    <w:rsid w:val="17E14521"/>
    <w:rsid w:val="18002CEE"/>
    <w:rsid w:val="18117661"/>
    <w:rsid w:val="18205761"/>
    <w:rsid w:val="18221638"/>
    <w:rsid w:val="1852290B"/>
    <w:rsid w:val="18523ADE"/>
    <w:rsid w:val="1866694B"/>
    <w:rsid w:val="186C1ACE"/>
    <w:rsid w:val="186F56F2"/>
    <w:rsid w:val="18766A50"/>
    <w:rsid w:val="18814A8E"/>
    <w:rsid w:val="188465B3"/>
    <w:rsid w:val="18847A77"/>
    <w:rsid w:val="188C6C7D"/>
    <w:rsid w:val="188D5C77"/>
    <w:rsid w:val="18960812"/>
    <w:rsid w:val="189C7EF6"/>
    <w:rsid w:val="189F71ED"/>
    <w:rsid w:val="18AD7D61"/>
    <w:rsid w:val="18B04B4D"/>
    <w:rsid w:val="18B3298C"/>
    <w:rsid w:val="18BB7F6F"/>
    <w:rsid w:val="18CB264C"/>
    <w:rsid w:val="18CF1489"/>
    <w:rsid w:val="18DA1733"/>
    <w:rsid w:val="18E6070A"/>
    <w:rsid w:val="18E64AC6"/>
    <w:rsid w:val="18E87E12"/>
    <w:rsid w:val="18F5052C"/>
    <w:rsid w:val="190B0C41"/>
    <w:rsid w:val="190B29C5"/>
    <w:rsid w:val="191A5AB9"/>
    <w:rsid w:val="191D14D9"/>
    <w:rsid w:val="194D0E36"/>
    <w:rsid w:val="1950119C"/>
    <w:rsid w:val="19672864"/>
    <w:rsid w:val="19693EEF"/>
    <w:rsid w:val="196B5F41"/>
    <w:rsid w:val="19AD3ABB"/>
    <w:rsid w:val="19D1732F"/>
    <w:rsid w:val="1A17412D"/>
    <w:rsid w:val="1A200A74"/>
    <w:rsid w:val="1A2F2398"/>
    <w:rsid w:val="1A3055B8"/>
    <w:rsid w:val="1A3550C7"/>
    <w:rsid w:val="1A482D23"/>
    <w:rsid w:val="1A5655AF"/>
    <w:rsid w:val="1A5976E8"/>
    <w:rsid w:val="1A6629B2"/>
    <w:rsid w:val="1A6B5CD7"/>
    <w:rsid w:val="1A93099A"/>
    <w:rsid w:val="1A9B675D"/>
    <w:rsid w:val="1AD1305D"/>
    <w:rsid w:val="1AD902D9"/>
    <w:rsid w:val="1ADE3E70"/>
    <w:rsid w:val="1AE20AFF"/>
    <w:rsid w:val="1AE42348"/>
    <w:rsid w:val="1AF2383D"/>
    <w:rsid w:val="1AF818E7"/>
    <w:rsid w:val="1B1249F1"/>
    <w:rsid w:val="1B157C1A"/>
    <w:rsid w:val="1B211C8A"/>
    <w:rsid w:val="1B2F0F03"/>
    <w:rsid w:val="1B325062"/>
    <w:rsid w:val="1B5734B2"/>
    <w:rsid w:val="1B86244F"/>
    <w:rsid w:val="1B8754E9"/>
    <w:rsid w:val="1B99173F"/>
    <w:rsid w:val="1B9A4C9A"/>
    <w:rsid w:val="1B9E5782"/>
    <w:rsid w:val="1B9F2F5B"/>
    <w:rsid w:val="1BA31D38"/>
    <w:rsid w:val="1BB15A38"/>
    <w:rsid w:val="1BB32D92"/>
    <w:rsid w:val="1BC63464"/>
    <w:rsid w:val="1BCA4E13"/>
    <w:rsid w:val="1BE75134"/>
    <w:rsid w:val="1BEB39AC"/>
    <w:rsid w:val="1C1D7B53"/>
    <w:rsid w:val="1C3C5A93"/>
    <w:rsid w:val="1C3D2E04"/>
    <w:rsid w:val="1C3D5C01"/>
    <w:rsid w:val="1C4852DE"/>
    <w:rsid w:val="1C4D45E0"/>
    <w:rsid w:val="1C557329"/>
    <w:rsid w:val="1C641627"/>
    <w:rsid w:val="1C69034E"/>
    <w:rsid w:val="1C7A51E1"/>
    <w:rsid w:val="1C7D0145"/>
    <w:rsid w:val="1C8B3838"/>
    <w:rsid w:val="1CA507D9"/>
    <w:rsid w:val="1CB3009C"/>
    <w:rsid w:val="1CB378B1"/>
    <w:rsid w:val="1CB701AA"/>
    <w:rsid w:val="1CC52D14"/>
    <w:rsid w:val="1CCA0F66"/>
    <w:rsid w:val="1CD757BA"/>
    <w:rsid w:val="1CDE446D"/>
    <w:rsid w:val="1CE04E77"/>
    <w:rsid w:val="1CE20210"/>
    <w:rsid w:val="1CF70920"/>
    <w:rsid w:val="1D196017"/>
    <w:rsid w:val="1D3074C2"/>
    <w:rsid w:val="1D464FEE"/>
    <w:rsid w:val="1D61037C"/>
    <w:rsid w:val="1D644902"/>
    <w:rsid w:val="1D670EDD"/>
    <w:rsid w:val="1D8C2BA2"/>
    <w:rsid w:val="1D905228"/>
    <w:rsid w:val="1D926F14"/>
    <w:rsid w:val="1D984754"/>
    <w:rsid w:val="1DB02A3C"/>
    <w:rsid w:val="1DCC2895"/>
    <w:rsid w:val="1DF24DA6"/>
    <w:rsid w:val="1DF43659"/>
    <w:rsid w:val="1DFC21EE"/>
    <w:rsid w:val="1E1C17E9"/>
    <w:rsid w:val="1E245B8F"/>
    <w:rsid w:val="1E334832"/>
    <w:rsid w:val="1E3A151A"/>
    <w:rsid w:val="1E4473F8"/>
    <w:rsid w:val="1E477FD1"/>
    <w:rsid w:val="1E490459"/>
    <w:rsid w:val="1E4E1D46"/>
    <w:rsid w:val="1E50751B"/>
    <w:rsid w:val="1E545B82"/>
    <w:rsid w:val="1E5472FA"/>
    <w:rsid w:val="1E6D1C74"/>
    <w:rsid w:val="1E736E4E"/>
    <w:rsid w:val="1E7E5EB1"/>
    <w:rsid w:val="1E882A24"/>
    <w:rsid w:val="1E8C12E3"/>
    <w:rsid w:val="1E973307"/>
    <w:rsid w:val="1E9C4DC4"/>
    <w:rsid w:val="1EA61B83"/>
    <w:rsid w:val="1EA82227"/>
    <w:rsid w:val="1EAD188D"/>
    <w:rsid w:val="1EBE241E"/>
    <w:rsid w:val="1EE6270F"/>
    <w:rsid w:val="1EED036E"/>
    <w:rsid w:val="1EF23920"/>
    <w:rsid w:val="1EF8376F"/>
    <w:rsid w:val="1F20664A"/>
    <w:rsid w:val="1F234826"/>
    <w:rsid w:val="1F427EBA"/>
    <w:rsid w:val="1F4773C4"/>
    <w:rsid w:val="1F5E0D38"/>
    <w:rsid w:val="1F5F4414"/>
    <w:rsid w:val="1F7468AC"/>
    <w:rsid w:val="1F7D1511"/>
    <w:rsid w:val="1F826970"/>
    <w:rsid w:val="1F8D21C3"/>
    <w:rsid w:val="1F972A67"/>
    <w:rsid w:val="1F9B1A36"/>
    <w:rsid w:val="1FA317AB"/>
    <w:rsid w:val="1FAD6FE1"/>
    <w:rsid w:val="1FC36F5C"/>
    <w:rsid w:val="1FCB673D"/>
    <w:rsid w:val="1FDC5EDA"/>
    <w:rsid w:val="1FEE648E"/>
    <w:rsid w:val="1FF433BA"/>
    <w:rsid w:val="1FF9202F"/>
    <w:rsid w:val="1FF97D4C"/>
    <w:rsid w:val="20003026"/>
    <w:rsid w:val="200F3B23"/>
    <w:rsid w:val="201967D7"/>
    <w:rsid w:val="201E097D"/>
    <w:rsid w:val="20374786"/>
    <w:rsid w:val="2039386F"/>
    <w:rsid w:val="203A0651"/>
    <w:rsid w:val="2041160E"/>
    <w:rsid w:val="20601C10"/>
    <w:rsid w:val="206A3582"/>
    <w:rsid w:val="20757C7B"/>
    <w:rsid w:val="20936440"/>
    <w:rsid w:val="20A0087D"/>
    <w:rsid w:val="20A13861"/>
    <w:rsid w:val="20B90CE7"/>
    <w:rsid w:val="20BB0C31"/>
    <w:rsid w:val="20C075D1"/>
    <w:rsid w:val="20C52E3E"/>
    <w:rsid w:val="20CC3886"/>
    <w:rsid w:val="20CF37FC"/>
    <w:rsid w:val="20D05BB0"/>
    <w:rsid w:val="20D717F3"/>
    <w:rsid w:val="20F12135"/>
    <w:rsid w:val="20F90AAC"/>
    <w:rsid w:val="20FA405B"/>
    <w:rsid w:val="212B616E"/>
    <w:rsid w:val="213121BA"/>
    <w:rsid w:val="214A2960"/>
    <w:rsid w:val="215302B9"/>
    <w:rsid w:val="215478E5"/>
    <w:rsid w:val="215869C7"/>
    <w:rsid w:val="2164448D"/>
    <w:rsid w:val="2170197F"/>
    <w:rsid w:val="217E539E"/>
    <w:rsid w:val="218E4A09"/>
    <w:rsid w:val="218E6399"/>
    <w:rsid w:val="21A51FD9"/>
    <w:rsid w:val="21A7134C"/>
    <w:rsid w:val="21CF4667"/>
    <w:rsid w:val="21D1172C"/>
    <w:rsid w:val="21DF3292"/>
    <w:rsid w:val="2208333D"/>
    <w:rsid w:val="220E027E"/>
    <w:rsid w:val="2229623B"/>
    <w:rsid w:val="22477192"/>
    <w:rsid w:val="224C2951"/>
    <w:rsid w:val="225A2267"/>
    <w:rsid w:val="225C6779"/>
    <w:rsid w:val="225D27FF"/>
    <w:rsid w:val="225E5A57"/>
    <w:rsid w:val="227A54E3"/>
    <w:rsid w:val="22841060"/>
    <w:rsid w:val="22865CFC"/>
    <w:rsid w:val="229D4547"/>
    <w:rsid w:val="22BD3256"/>
    <w:rsid w:val="22C50CE6"/>
    <w:rsid w:val="22CD432D"/>
    <w:rsid w:val="22D07449"/>
    <w:rsid w:val="22E346E5"/>
    <w:rsid w:val="230B248C"/>
    <w:rsid w:val="231E3ED2"/>
    <w:rsid w:val="233A473E"/>
    <w:rsid w:val="234421C7"/>
    <w:rsid w:val="234C7270"/>
    <w:rsid w:val="23537C14"/>
    <w:rsid w:val="235627E9"/>
    <w:rsid w:val="23596765"/>
    <w:rsid w:val="23700EEA"/>
    <w:rsid w:val="238C42D2"/>
    <w:rsid w:val="2393048F"/>
    <w:rsid w:val="239E3C8F"/>
    <w:rsid w:val="23A06B4E"/>
    <w:rsid w:val="23A40CCF"/>
    <w:rsid w:val="23A47EF2"/>
    <w:rsid w:val="23B65306"/>
    <w:rsid w:val="23C66404"/>
    <w:rsid w:val="23D21098"/>
    <w:rsid w:val="23ED0F5A"/>
    <w:rsid w:val="23FE5E51"/>
    <w:rsid w:val="24097813"/>
    <w:rsid w:val="24132613"/>
    <w:rsid w:val="24253905"/>
    <w:rsid w:val="24351B4F"/>
    <w:rsid w:val="243706ED"/>
    <w:rsid w:val="245473CD"/>
    <w:rsid w:val="24576A62"/>
    <w:rsid w:val="24644668"/>
    <w:rsid w:val="246E76BE"/>
    <w:rsid w:val="24762507"/>
    <w:rsid w:val="247A19EF"/>
    <w:rsid w:val="247D5AC5"/>
    <w:rsid w:val="247E101D"/>
    <w:rsid w:val="24863B93"/>
    <w:rsid w:val="248E714B"/>
    <w:rsid w:val="24A950EC"/>
    <w:rsid w:val="24B346B5"/>
    <w:rsid w:val="24B606B7"/>
    <w:rsid w:val="24CB1C4F"/>
    <w:rsid w:val="24EC3BCA"/>
    <w:rsid w:val="24EF6448"/>
    <w:rsid w:val="24F71B8F"/>
    <w:rsid w:val="24F92CDE"/>
    <w:rsid w:val="250C0B5D"/>
    <w:rsid w:val="2521679E"/>
    <w:rsid w:val="2524406D"/>
    <w:rsid w:val="25323728"/>
    <w:rsid w:val="25335BFF"/>
    <w:rsid w:val="253D4E51"/>
    <w:rsid w:val="25423238"/>
    <w:rsid w:val="25462DA6"/>
    <w:rsid w:val="254A792A"/>
    <w:rsid w:val="255C6929"/>
    <w:rsid w:val="25666CCF"/>
    <w:rsid w:val="25893EFE"/>
    <w:rsid w:val="259666A0"/>
    <w:rsid w:val="259D035F"/>
    <w:rsid w:val="259F22C8"/>
    <w:rsid w:val="25BE6749"/>
    <w:rsid w:val="25DE0185"/>
    <w:rsid w:val="25E04003"/>
    <w:rsid w:val="25E7771E"/>
    <w:rsid w:val="25E84F45"/>
    <w:rsid w:val="25EE6875"/>
    <w:rsid w:val="25EF5977"/>
    <w:rsid w:val="25F5295E"/>
    <w:rsid w:val="25F5448D"/>
    <w:rsid w:val="26027F37"/>
    <w:rsid w:val="26090A5D"/>
    <w:rsid w:val="260C30FA"/>
    <w:rsid w:val="260C334C"/>
    <w:rsid w:val="26112CD9"/>
    <w:rsid w:val="261B3F75"/>
    <w:rsid w:val="26276BC7"/>
    <w:rsid w:val="26335573"/>
    <w:rsid w:val="26351117"/>
    <w:rsid w:val="26412189"/>
    <w:rsid w:val="265071EF"/>
    <w:rsid w:val="26517452"/>
    <w:rsid w:val="26566E1C"/>
    <w:rsid w:val="266843BF"/>
    <w:rsid w:val="26A10A64"/>
    <w:rsid w:val="26A24282"/>
    <w:rsid w:val="26A24D30"/>
    <w:rsid w:val="26A45716"/>
    <w:rsid w:val="26BB545E"/>
    <w:rsid w:val="26BB6790"/>
    <w:rsid w:val="26C84C3F"/>
    <w:rsid w:val="26CA39FA"/>
    <w:rsid w:val="26D06521"/>
    <w:rsid w:val="26D12157"/>
    <w:rsid w:val="26D56D51"/>
    <w:rsid w:val="26DB2072"/>
    <w:rsid w:val="26E45CF4"/>
    <w:rsid w:val="26FA64BB"/>
    <w:rsid w:val="27020283"/>
    <w:rsid w:val="270F1235"/>
    <w:rsid w:val="271D238B"/>
    <w:rsid w:val="272051F3"/>
    <w:rsid w:val="27321E3A"/>
    <w:rsid w:val="273333A6"/>
    <w:rsid w:val="273460AC"/>
    <w:rsid w:val="2737495D"/>
    <w:rsid w:val="274013C2"/>
    <w:rsid w:val="274D11C6"/>
    <w:rsid w:val="27862FAB"/>
    <w:rsid w:val="278F67DD"/>
    <w:rsid w:val="27903F65"/>
    <w:rsid w:val="27A0148D"/>
    <w:rsid w:val="27A91859"/>
    <w:rsid w:val="27AD62EA"/>
    <w:rsid w:val="27B778B7"/>
    <w:rsid w:val="27BB0824"/>
    <w:rsid w:val="27CB6F94"/>
    <w:rsid w:val="27CE4805"/>
    <w:rsid w:val="27DC01C9"/>
    <w:rsid w:val="27E32965"/>
    <w:rsid w:val="27E5175A"/>
    <w:rsid w:val="27EA6D62"/>
    <w:rsid w:val="27F16B9F"/>
    <w:rsid w:val="281210DA"/>
    <w:rsid w:val="282A6192"/>
    <w:rsid w:val="282B2E24"/>
    <w:rsid w:val="28300784"/>
    <w:rsid w:val="28333DA0"/>
    <w:rsid w:val="28364077"/>
    <w:rsid w:val="28462A7F"/>
    <w:rsid w:val="28630E79"/>
    <w:rsid w:val="286532EA"/>
    <w:rsid w:val="289E6725"/>
    <w:rsid w:val="289F3043"/>
    <w:rsid w:val="28BB6E01"/>
    <w:rsid w:val="28E253F2"/>
    <w:rsid w:val="28E72DF4"/>
    <w:rsid w:val="29057EC1"/>
    <w:rsid w:val="290E28AF"/>
    <w:rsid w:val="292011C8"/>
    <w:rsid w:val="292A195E"/>
    <w:rsid w:val="293757A5"/>
    <w:rsid w:val="293D0E03"/>
    <w:rsid w:val="293F5958"/>
    <w:rsid w:val="294706D2"/>
    <w:rsid w:val="29473335"/>
    <w:rsid w:val="294A094A"/>
    <w:rsid w:val="29581522"/>
    <w:rsid w:val="295B0349"/>
    <w:rsid w:val="297A0419"/>
    <w:rsid w:val="29806F72"/>
    <w:rsid w:val="29985D38"/>
    <w:rsid w:val="299F5524"/>
    <w:rsid w:val="29A8108D"/>
    <w:rsid w:val="29C46CD0"/>
    <w:rsid w:val="29C52E87"/>
    <w:rsid w:val="29C52F6E"/>
    <w:rsid w:val="29CE6984"/>
    <w:rsid w:val="29D41D29"/>
    <w:rsid w:val="29D9317B"/>
    <w:rsid w:val="29E17530"/>
    <w:rsid w:val="29E63331"/>
    <w:rsid w:val="29F04EAF"/>
    <w:rsid w:val="29F116D0"/>
    <w:rsid w:val="29F92559"/>
    <w:rsid w:val="2A0241CA"/>
    <w:rsid w:val="2A046C16"/>
    <w:rsid w:val="2A0777DB"/>
    <w:rsid w:val="2A1E7E82"/>
    <w:rsid w:val="2A546F83"/>
    <w:rsid w:val="2A7430B0"/>
    <w:rsid w:val="2A7964F5"/>
    <w:rsid w:val="2A7A2653"/>
    <w:rsid w:val="2A7D5C08"/>
    <w:rsid w:val="2A81626E"/>
    <w:rsid w:val="2A834548"/>
    <w:rsid w:val="2A8C5C85"/>
    <w:rsid w:val="2A982D67"/>
    <w:rsid w:val="2AA47786"/>
    <w:rsid w:val="2AA65372"/>
    <w:rsid w:val="2AAA19F3"/>
    <w:rsid w:val="2AAD65EE"/>
    <w:rsid w:val="2AC20AA4"/>
    <w:rsid w:val="2AC77380"/>
    <w:rsid w:val="2ACF3DEA"/>
    <w:rsid w:val="2ADD6AFD"/>
    <w:rsid w:val="2ADE6550"/>
    <w:rsid w:val="2AEC584E"/>
    <w:rsid w:val="2AFE0D9C"/>
    <w:rsid w:val="2B0702EA"/>
    <w:rsid w:val="2B137CFF"/>
    <w:rsid w:val="2B2E0309"/>
    <w:rsid w:val="2B422946"/>
    <w:rsid w:val="2B4A469C"/>
    <w:rsid w:val="2B5B34DC"/>
    <w:rsid w:val="2B76579E"/>
    <w:rsid w:val="2B831E93"/>
    <w:rsid w:val="2B8B7E53"/>
    <w:rsid w:val="2B961E6D"/>
    <w:rsid w:val="2BA57D96"/>
    <w:rsid w:val="2BAE29A1"/>
    <w:rsid w:val="2BBE438D"/>
    <w:rsid w:val="2BD64F87"/>
    <w:rsid w:val="2BE373EE"/>
    <w:rsid w:val="2BF647C8"/>
    <w:rsid w:val="2BF874A5"/>
    <w:rsid w:val="2C295EB9"/>
    <w:rsid w:val="2C2C3645"/>
    <w:rsid w:val="2C35729B"/>
    <w:rsid w:val="2C372A26"/>
    <w:rsid w:val="2C3E2D8D"/>
    <w:rsid w:val="2C440C2D"/>
    <w:rsid w:val="2C4628DA"/>
    <w:rsid w:val="2C490F3D"/>
    <w:rsid w:val="2C4A00EE"/>
    <w:rsid w:val="2C537E8D"/>
    <w:rsid w:val="2C622710"/>
    <w:rsid w:val="2C624F63"/>
    <w:rsid w:val="2C6D447D"/>
    <w:rsid w:val="2C7A1A31"/>
    <w:rsid w:val="2C7C7D79"/>
    <w:rsid w:val="2C8242AC"/>
    <w:rsid w:val="2C9466E2"/>
    <w:rsid w:val="2CA47334"/>
    <w:rsid w:val="2CAF6B04"/>
    <w:rsid w:val="2CB0279E"/>
    <w:rsid w:val="2CD12AE5"/>
    <w:rsid w:val="2CFE1D53"/>
    <w:rsid w:val="2D004D9F"/>
    <w:rsid w:val="2D0A61DA"/>
    <w:rsid w:val="2D1063DE"/>
    <w:rsid w:val="2D2C5540"/>
    <w:rsid w:val="2D3A323B"/>
    <w:rsid w:val="2D4B55E5"/>
    <w:rsid w:val="2D53589F"/>
    <w:rsid w:val="2D6554BD"/>
    <w:rsid w:val="2D6C3D5F"/>
    <w:rsid w:val="2D7646A7"/>
    <w:rsid w:val="2D7810FA"/>
    <w:rsid w:val="2D791014"/>
    <w:rsid w:val="2D7E4BA4"/>
    <w:rsid w:val="2D9128C5"/>
    <w:rsid w:val="2D92237E"/>
    <w:rsid w:val="2DB057E9"/>
    <w:rsid w:val="2DB128D3"/>
    <w:rsid w:val="2DB60F59"/>
    <w:rsid w:val="2DD120CE"/>
    <w:rsid w:val="2DD719F0"/>
    <w:rsid w:val="2DDA7850"/>
    <w:rsid w:val="2DDC0104"/>
    <w:rsid w:val="2DE379BB"/>
    <w:rsid w:val="2DEA720A"/>
    <w:rsid w:val="2E0177B9"/>
    <w:rsid w:val="2E034F95"/>
    <w:rsid w:val="2E1D2BF2"/>
    <w:rsid w:val="2E1F7177"/>
    <w:rsid w:val="2E233EF6"/>
    <w:rsid w:val="2E3270E6"/>
    <w:rsid w:val="2E3B2A47"/>
    <w:rsid w:val="2E4A4651"/>
    <w:rsid w:val="2E6003A4"/>
    <w:rsid w:val="2E672ECD"/>
    <w:rsid w:val="2E69729D"/>
    <w:rsid w:val="2E6E5FF5"/>
    <w:rsid w:val="2E7F4F88"/>
    <w:rsid w:val="2E8543E2"/>
    <w:rsid w:val="2E9503D9"/>
    <w:rsid w:val="2E9B575E"/>
    <w:rsid w:val="2EA60C21"/>
    <w:rsid w:val="2EB809B1"/>
    <w:rsid w:val="2EB81831"/>
    <w:rsid w:val="2EC0331B"/>
    <w:rsid w:val="2ECF7A85"/>
    <w:rsid w:val="2EDD103E"/>
    <w:rsid w:val="2EDD5F61"/>
    <w:rsid w:val="2EE054B3"/>
    <w:rsid w:val="2EE135BD"/>
    <w:rsid w:val="2EFD7B5E"/>
    <w:rsid w:val="2F2B5ABF"/>
    <w:rsid w:val="2F2E604D"/>
    <w:rsid w:val="2F417886"/>
    <w:rsid w:val="2F85559B"/>
    <w:rsid w:val="2F882E85"/>
    <w:rsid w:val="2F9A7F4A"/>
    <w:rsid w:val="2FA95A58"/>
    <w:rsid w:val="2FC733B8"/>
    <w:rsid w:val="2FCA4F20"/>
    <w:rsid w:val="2FF749C4"/>
    <w:rsid w:val="300C4C70"/>
    <w:rsid w:val="30126AA3"/>
    <w:rsid w:val="30152AED"/>
    <w:rsid w:val="3021132B"/>
    <w:rsid w:val="30213EB5"/>
    <w:rsid w:val="303371BB"/>
    <w:rsid w:val="3044399D"/>
    <w:rsid w:val="304634EB"/>
    <w:rsid w:val="3048208D"/>
    <w:rsid w:val="305868C6"/>
    <w:rsid w:val="306445C1"/>
    <w:rsid w:val="306F3DBA"/>
    <w:rsid w:val="30703532"/>
    <w:rsid w:val="30794E8C"/>
    <w:rsid w:val="30896C6B"/>
    <w:rsid w:val="309C65E1"/>
    <w:rsid w:val="30A62F50"/>
    <w:rsid w:val="30B146BD"/>
    <w:rsid w:val="30D0377D"/>
    <w:rsid w:val="30D2261F"/>
    <w:rsid w:val="30D85CAE"/>
    <w:rsid w:val="30D917EF"/>
    <w:rsid w:val="30DE0226"/>
    <w:rsid w:val="30FA446E"/>
    <w:rsid w:val="31007D5E"/>
    <w:rsid w:val="310B1022"/>
    <w:rsid w:val="31115223"/>
    <w:rsid w:val="31147EE6"/>
    <w:rsid w:val="311C73D1"/>
    <w:rsid w:val="31263645"/>
    <w:rsid w:val="313610D3"/>
    <w:rsid w:val="313A5C82"/>
    <w:rsid w:val="31445B9B"/>
    <w:rsid w:val="31451BB1"/>
    <w:rsid w:val="315438D0"/>
    <w:rsid w:val="316B13D5"/>
    <w:rsid w:val="31720F1D"/>
    <w:rsid w:val="31745B98"/>
    <w:rsid w:val="317E525C"/>
    <w:rsid w:val="3198786E"/>
    <w:rsid w:val="319951C3"/>
    <w:rsid w:val="31BF03E5"/>
    <w:rsid w:val="31D60C51"/>
    <w:rsid w:val="31D8305E"/>
    <w:rsid w:val="31E071FA"/>
    <w:rsid w:val="31E4562F"/>
    <w:rsid w:val="31E65427"/>
    <w:rsid w:val="31F04C8E"/>
    <w:rsid w:val="31F43BF9"/>
    <w:rsid w:val="31F96A5C"/>
    <w:rsid w:val="31FE3F69"/>
    <w:rsid w:val="32027DF5"/>
    <w:rsid w:val="320733C3"/>
    <w:rsid w:val="321C18F4"/>
    <w:rsid w:val="321C2B52"/>
    <w:rsid w:val="321E7835"/>
    <w:rsid w:val="321F61EC"/>
    <w:rsid w:val="32247CD8"/>
    <w:rsid w:val="322E6B89"/>
    <w:rsid w:val="32305661"/>
    <w:rsid w:val="32437FFF"/>
    <w:rsid w:val="324F04DB"/>
    <w:rsid w:val="32702FC0"/>
    <w:rsid w:val="327144B7"/>
    <w:rsid w:val="32CA65F9"/>
    <w:rsid w:val="32DA20B9"/>
    <w:rsid w:val="32ED7522"/>
    <w:rsid w:val="32FC648A"/>
    <w:rsid w:val="33054854"/>
    <w:rsid w:val="33064DC6"/>
    <w:rsid w:val="330A16FB"/>
    <w:rsid w:val="33141FF7"/>
    <w:rsid w:val="333D4ABC"/>
    <w:rsid w:val="33467B46"/>
    <w:rsid w:val="33482976"/>
    <w:rsid w:val="33506C9F"/>
    <w:rsid w:val="335674FB"/>
    <w:rsid w:val="33775E05"/>
    <w:rsid w:val="338011C5"/>
    <w:rsid w:val="338574F9"/>
    <w:rsid w:val="33A078AB"/>
    <w:rsid w:val="33A222F8"/>
    <w:rsid w:val="33B81218"/>
    <w:rsid w:val="33B85C62"/>
    <w:rsid w:val="33C3614F"/>
    <w:rsid w:val="33D62B96"/>
    <w:rsid w:val="33D74632"/>
    <w:rsid w:val="33DD6534"/>
    <w:rsid w:val="33E32DB1"/>
    <w:rsid w:val="33FE1B8E"/>
    <w:rsid w:val="33FE7B7C"/>
    <w:rsid w:val="34090A83"/>
    <w:rsid w:val="34215B1A"/>
    <w:rsid w:val="342A65DD"/>
    <w:rsid w:val="342D74A7"/>
    <w:rsid w:val="344127C5"/>
    <w:rsid w:val="34526E6E"/>
    <w:rsid w:val="34543733"/>
    <w:rsid w:val="345B1895"/>
    <w:rsid w:val="347B5059"/>
    <w:rsid w:val="34843EB8"/>
    <w:rsid w:val="3485590E"/>
    <w:rsid w:val="348D0C21"/>
    <w:rsid w:val="34900772"/>
    <w:rsid w:val="349120E2"/>
    <w:rsid w:val="34946C2E"/>
    <w:rsid w:val="34A24AD6"/>
    <w:rsid w:val="34AA6A0A"/>
    <w:rsid w:val="34AC0D18"/>
    <w:rsid w:val="34AC6EE9"/>
    <w:rsid w:val="34BA1344"/>
    <w:rsid w:val="34C04708"/>
    <w:rsid w:val="34C7478F"/>
    <w:rsid w:val="34CD3D18"/>
    <w:rsid w:val="34CE1C4B"/>
    <w:rsid w:val="34D46D17"/>
    <w:rsid w:val="34D72D05"/>
    <w:rsid w:val="34E36223"/>
    <w:rsid w:val="34E479E8"/>
    <w:rsid w:val="34F25879"/>
    <w:rsid w:val="34FD5844"/>
    <w:rsid w:val="34FD66F6"/>
    <w:rsid w:val="35070DCE"/>
    <w:rsid w:val="35093A51"/>
    <w:rsid w:val="35280DED"/>
    <w:rsid w:val="35463167"/>
    <w:rsid w:val="354B6DA9"/>
    <w:rsid w:val="35607D49"/>
    <w:rsid w:val="35665ADB"/>
    <w:rsid w:val="35672758"/>
    <w:rsid w:val="35756AB6"/>
    <w:rsid w:val="35816EB9"/>
    <w:rsid w:val="35821E3D"/>
    <w:rsid w:val="358A66C4"/>
    <w:rsid w:val="359F5261"/>
    <w:rsid w:val="35A07F87"/>
    <w:rsid w:val="35B0610D"/>
    <w:rsid w:val="35C2434B"/>
    <w:rsid w:val="35CE76EA"/>
    <w:rsid w:val="35F003F2"/>
    <w:rsid w:val="35FE7215"/>
    <w:rsid w:val="35FF2DF2"/>
    <w:rsid w:val="36000F59"/>
    <w:rsid w:val="360B232F"/>
    <w:rsid w:val="361376EE"/>
    <w:rsid w:val="36165CB8"/>
    <w:rsid w:val="36247CCA"/>
    <w:rsid w:val="36280FB0"/>
    <w:rsid w:val="363068FD"/>
    <w:rsid w:val="36400759"/>
    <w:rsid w:val="364225B8"/>
    <w:rsid w:val="364D0195"/>
    <w:rsid w:val="36552E71"/>
    <w:rsid w:val="365F531F"/>
    <w:rsid w:val="36794F97"/>
    <w:rsid w:val="367B06EC"/>
    <w:rsid w:val="36987862"/>
    <w:rsid w:val="36AF0D32"/>
    <w:rsid w:val="36B0395A"/>
    <w:rsid w:val="36B05C89"/>
    <w:rsid w:val="36CB4FDC"/>
    <w:rsid w:val="36ED465C"/>
    <w:rsid w:val="370058B6"/>
    <w:rsid w:val="37066B46"/>
    <w:rsid w:val="370A3738"/>
    <w:rsid w:val="370B1A2D"/>
    <w:rsid w:val="371119CF"/>
    <w:rsid w:val="371D55A0"/>
    <w:rsid w:val="37305A8D"/>
    <w:rsid w:val="37556EFB"/>
    <w:rsid w:val="37634C0D"/>
    <w:rsid w:val="37635AA2"/>
    <w:rsid w:val="376D038A"/>
    <w:rsid w:val="377F6961"/>
    <w:rsid w:val="37843B5C"/>
    <w:rsid w:val="378D4EC4"/>
    <w:rsid w:val="37941E6A"/>
    <w:rsid w:val="37A75DD5"/>
    <w:rsid w:val="37B01FC8"/>
    <w:rsid w:val="37C17269"/>
    <w:rsid w:val="37C53393"/>
    <w:rsid w:val="37EC0AAA"/>
    <w:rsid w:val="37F7211A"/>
    <w:rsid w:val="37FD2BB1"/>
    <w:rsid w:val="37FF20F3"/>
    <w:rsid w:val="38037BFE"/>
    <w:rsid w:val="380E457C"/>
    <w:rsid w:val="381819B4"/>
    <w:rsid w:val="381B2BBA"/>
    <w:rsid w:val="381D63E4"/>
    <w:rsid w:val="38222145"/>
    <w:rsid w:val="383E4A50"/>
    <w:rsid w:val="38440C20"/>
    <w:rsid w:val="38454C9B"/>
    <w:rsid w:val="38514EB2"/>
    <w:rsid w:val="3866096E"/>
    <w:rsid w:val="388116C0"/>
    <w:rsid w:val="388523F1"/>
    <w:rsid w:val="388C3DD3"/>
    <w:rsid w:val="388C714F"/>
    <w:rsid w:val="38946C1E"/>
    <w:rsid w:val="38AA52E6"/>
    <w:rsid w:val="38B043AF"/>
    <w:rsid w:val="38B545BD"/>
    <w:rsid w:val="38BF6349"/>
    <w:rsid w:val="38CB485A"/>
    <w:rsid w:val="38E37461"/>
    <w:rsid w:val="38E5564A"/>
    <w:rsid w:val="38F1657A"/>
    <w:rsid w:val="39105A0A"/>
    <w:rsid w:val="391B76F1"/>
    <w:rsid w:val="392245B5"/>
    <w:rsid w:val="393D721A"/>
    <w:rsid w:val="393E185A"/>
    <w:rsid w:val="393F0F59"/>
    <w:rsid w:val="39426C66"/>
    <w:rsid w:val="394A6B61"/>
    <w:rsid w:val="394F360B"/>
    <w:rsid w:val="395817AD"/>
    <w:rsid w:val="39825EF1"/>
    <w:rsid w:val="39871C2D"/>
    <w:rsid w:val="399D7118"/>
    <w:rsid w:val="39BC5220"/>
    <w:rsid w:val="39C103E0"/>
    <w:rsid w:val="39D879D3"/>
    <w:rsid w:val="39DD3059"/>
    <w:rsid w:val="39E72ADE"/>
    <w:rsid w:val="39F10271"/>
    <w:rsid w:val="39F90CE4"/>
    <w:rsid w:val="39FC179E"/>
    <w:rsid w:val="3A014E17"/>
    <w:rsid w:val="3A066018"/>
    <w:rsid w:val="3A27547C"/>
    <w:rsid w:val="3A383F22"/>
    <w:rsid w:val="3A3871E3"/>
    <w:rsid w:val="3A3C3C45"/>
    <w:rsid w:val="3A663EB0"/>
    <w:rsid w:val="3A775050"/>
    <w:rsid w:val="3A87071A"/>
    <w:rsid w:val="3A9B7C92"/>
    <w:rsid w:val="3AA36ABD"/>
    <w:rsid w:val="3AA86D7A"/>
    <w:rsid w:val="3AAC76F2"/>
    <w:rsid w:val="3AD72B67"/>
    <w:rsid w:val="3AD8079E"/>
    <w:rsid w:val="3AEB6F13"/>
    <w:rsid w:val="3AF05E33"/>
    <w:rsid w:val="3AF1344F"/>
    <w:rsid w:val="3B1872AC"/>
    <w:rsid w:val="3B1C5B19"/>
    <w:rsid w:val="3B362C4D"/>
    <w:rsid w:val="3B534193"/>
    <w:rsid w:val="3B77487F"/>
    <w:rsid w:val="3B7D1A0F"/>
    <w:rsid w:val="3B9211E6"/>
    <w:rsid w:val="3B932C1B"/>
    <w:rsid w:val="3B942B73"/>
    <w:rsid w:val="3B956199"/>
    <w:rsid w:val="3B9674D7"/>
    <w:rsid w:val="3BA173A5"/>
    <w:rsid w:val="3BA20424"/>
    <w:rsid w:val="3BA8193A"/>
    <w:rsid w:val="3BA9196D"/>
    <w:rsid w:val="3BB21C3E"/>
    <w:rsid w:val="3BB26BF1"/>
    <w:rsid w:val="3BB335AC"/>
    <w:rsid w:val="3BBC16F8"/>
    <w:rsid w:val="3BD01CAB"/>
    <w:rsid w:val="3BD3067E"/>
    <w:rsid w:val="3BD53AB5"/>
    <w:rsid w:val="3BE30309"/>
    <w:rsid w:val="3BEF40B2"/>
    <w:rsid w:val="3BFF61D4"/>
    <w:rsid w:val="3C0104C3"/>
    <w:rsid w:val="3C170C7E"/>
    <w:rsid w:val="3C197841"/>
    <w:rsid w:val="3C200106"/>
    <w:rsid w:val="3C262C87"/>
    <w:rsid w:val="3C344926"/>
    <w:rsid w:val="3C3C39A0"/>
    <w:rsid w:val="3C485C83"/>
    <w:rsid w:val="3C4D7CB3"/>
    <w:rsid w:val="3C5A7EF6"/>
    <w:rsid w:val="3C804923"/>
    <w:rsid w:val="3C9918ED"/>
    <w:rsid w:val="3C9C09BA"/>
    <w:rsid w:val="3C9D3765"/>
    <w:rsid w:val="3C9E0FAA"/>
    <w:rsid w:val="3CA30947"/>
    <w:rsid w:val="3CAB4A3B"/>
    <w:rsid w:val="3CB85542"/>
    <w:rsid w:val="3CC000F8"/>
    <w:rsid w:val="3CC528A6"/>
    <w:rsid w:val="3CCD2C35"/>
    <w:rsid w:val="3CFA680D"/>
    <w:rsid w:val="3D277613"/>
    <w:rsid w:val="3D3C5369"/>
    <w:rsid w:val="3D66205D"/>
    <w:rsid w:val="3D6D5EA9"/>
    <w:rsid w:val="3DA07FC1"/>
    <w:rsid w:val="3DA54021"/>
    <w:rsid w:val="3DBC3DB6"/>
    <w:rsid w:val="3DCE1794"/>
    <w:rsid w:val="3DCF2BD2"/>
    <w:rsid w:val="3DD171A7"/>
    <w:rsid w:val="3DD80C17"/>
    <w:rsid w:val="3DDA3D62"/>
    <w:rsid w:val="3DDC1724"/>
    <w:rsid w:val="3DDD3AD5"/>
    <w:rsid w:val="3DE27BB0"/>
    <w:rsid w:val="3DE752BC"/>
    <w:rsid w:val="3DEC1B94"/>
    <w:rsid w:val="3DFF41E9"/>
    <w:rsid w:val="3E042055"/>
    <w:rsid w:val="3E127B19"/>
    <w:rsid w:val="3E2653DC"/>
    <w:rsid w:val="3E2B030D"/>
    <w:rsid w:val="3E2B50D7"/>
    <w:rsid w:val="3E327F30"/>
    <w:rsid w:val="3E3F23C7"/>
    <w:rsid w:val="3E4162CE"/>
    <w:rsid w:val="3E460060"/>
    <w:rsid w:val="3E4754A6"/>
    <w:rsid w:val="3E497743"/>
    <w:rsid w:val="3E4C2849"/>
    <w:rsid w:val="3E5A5B44"/>
    <w:rsid w:val="3E681F80"/>
    <w:rsid w:val="3E786B14"/>
    <w:rsid w:val="3E860F10"/>
    <w:rsid w:val="3E905D6E"/>
    <w:rsid w:val="3E913ADC"/>
    <w:rsid w:val="3E914243"/>
    <w:rsid w:val="3E922B85"/>
    <w:rsid w:val="3E922D59"/>
    <w:rsid w:val="3EA3700C"/>
    <w:rsid w:val="3EAB4856"/>
    <w:rsid w:val="3EB02205"/>
    <w:rsid w:val="3EB47903"/>
    <w:rsid w:val="3ECA442E"/>
    <w:rsid w:val="3ECB0BCD"/>
    <w:rsid w:val="3ED539EF"/>
    <w:rsid w:val="3ED7637C"/>
    <w:rsid w:val="3EDD7C11"/>
    <w:rsid w:val="3EDF0CF3"/>
    <w:rsid w:val="3EDF1303"/>
    <w:rsid w:val="3EE8557E"/>
    <w:rsid w:val="3EED54C0"/>
    <w:rsid w:val="3EED740D"/>
    <w:rsid w:val="3EF811BB"/>
    <w:rsid w:val="3F13159F"/>
    <w:rsid w:val="3F2F6BD0"/>
    <w:rsid w:val="3F3073C0"/>
    <w:rsid w:val="3F3330FC"/>
    <w:rsid w:val="3F397D57"/>
    <w:rsid w:val="3F49197C"/>
    <w:rsid w:val="3F4E48BC"/>
    <w:rsid w:val="3F4F338A"/>
    <w:rsid w:val="3F4F56AB"/>
    <w:rsid w:val="3F535006"/>
    <w:rsid w:val="3F56191C"/>
    <w:rsid w:val="3F5C510C"/>
    <w:rsid w:val="3F652B34"/>
    <w:rsid w:val="3F6733C9"/>
    <w:rsid w:val="3F8764D6"/>
    <w:rsid w:val="3F9529AF"/>
    <w:rsid w:val="3F9F03A5"/>
    <w:rsid w:val="3FA1441A"/>
    <w:rsid w:val="3FB1447F"/>
    <w:rsid w:val="3FBD2525"/>
    <w:rsid w:val="3FC35AFC"/>
    <w:rsid w:val="3FD1414D"/>
    <w:rsid w:val="3FD81218"/>
    <w:rsid w:val="3FDB2D1E"/>
    <w:rsid w:val="3FE61B2A"/>
    <w:rsid w:val="400479C3"/>
    <w:rsid w:val="40081CB5"/>
    <w:rsid w:val="400A3EBE"/>
    <w:rsid w:val="40404B79"/>
    <w:rsid w:val="405D26AD"/>
    <w:rsid w:val="405F7D0D"/>
    <w:rsid w:val="40655ED9"/>
    <w:rsid w:val="40772784"/>
    <w:rsid w:val="40797278"/>
    <w:rsid w:val="40811D99"/>
    <w:rsid w:val="408340EB"/>
    <w:rsid w:val="408962E3"/>
    <w:rsid w:val="408B0386"/>
    <w:rsid w:val="408E3720"/>
    <w:rsid w:val="40912007"/>
    <w:rsid w:val="40965531"/>
    <w:rsid w:val="4098465D"/>
    <w:rsid w:val="409B357D"/>
    <w:rsid w:val="409C7817"/>
    <w:rsid w:val="40B01C33"/>
    <w:rsid w:val="40BC2DF7"/>
    <w:rsid w:val="40C81DF9"/>
    <w:rsid w:val="40CE14CF"/>
    <w:rsid w:val="40CF6877"/>
    <w:rsid w:val="40E52938"/>
    <w:rsid w:val="40E86C9E"/>
    <w:rsid w:val="4109146B"/>
    <w:rsid w:val="41116597"/>
    <w:rsid w:val="411713CA"/>
    <w:rsid w:val="411A6663"/>
    <w:rsid w:val="412D5086"/>
    <w:rsid w:val="4130140E"/>
    <w:rsid w:val="4135267B"/>
    <w:rsid w:val="4153285F"/>
    <w:rsid w:val="416E59E3"/>
    <w:rsid w:val="417C4EC1"/>
    <w:rsid w:val="417F2011"/>
    <w:rsid w:val="41A664B7"/>
    <w:rsid w:val="41C93515"/>
    <w:rsid w:val="41CD671B"/>
    <w:rsid w:val="41D97FE8"/>
    <w:rsid w:val="41DF5CBF"/>
    <w:rsid w:val="41EA5A32"/>
    <w:rsid w:val="41F34E7E"/>
    <w:rsid w:val="42147995"/>
    <w:rsid w:val="42183940"/>
    <w:rsid w:val="42226713"/>
    <w:rsid w:val="42261F1D"/>
    <w:rsid w:val="422B2BA1"/>
    <w:rsid w:val="4231785A"/>
    <w:rsid w:val="42470117"/>
    <w:rsid w:val="424A5AC8"/>
    <w:rsid w:val="42584818"/>
    <w:rsid w:val="425F508F"/>
    <w:rsid w:val="42630661"/>
    <w:rsid w:val="427E48C1"/>
    <w:rsid w:val="42926048"/>
    <w:rsid w:val="429B6E22"/>
    <w:rsid w:val="42A96C04"/>
    <w:rsid w:val="42B35C12"/>
    <w:rsid w:val="42BB4733"/>
    <w:rsid w:val="42C45833"/>
    <w:rsid w:val="42C845D8"/>
    <w:rsid w:val="42F21569"/>
    <w:rsid w:val="42FE6A9C"/>
    <w:rsid w:val="43015C29"/>
    <w:rsid w:val="43133956"/>
    <w:rsid w:val="432004C8"/>
    <w:rsid w:val="432362A3"/>
    <w:rsid w:val="43262E27"/>
    <w:rsid w:val="434841F7"/>
    <w:rsid w:val="434D6B99"/>
    <w:rsid w:val="436207F7"/>
    <w:rsid w:val="437F792B"/>
    <w:rsid w:val="43891D6F"/>
    <w:rsid w:val="43904EA5"/>
    <w:rsid w:val="43B049C2"/>
    <w:rsid w:val="43BE214E"/>
    <w:rsid w:val="43C16A01"/>
    <w:rsid w:val="43C61987"/>
    <w:rsid w:val="43ED298C"/>
    <w:rsid w:val="43EF2991"/>
    <w:rsid w:val="43F4696E"/>
    <w:rsid w:val="44014083"/>
    <w:rsid w:val="444301F6"/>
    <w:rsid w:val="44597BEE"/>
    <w:rsid w:val="4463627F"/>
    <w:rsid w:val="4469304A"/>
    <w:rsid w:val="447A4753"/>
    <w:rsid w:val="449D023F"/>
    <w:rsid w:val="44A427AA"/>
    <w:rsid w:val="44A569F8"/>
    <w:rsid w:val="44AD042F"/>
    <w:rsid w:val="44C260EC"/>
    <w:rsid w:val="44CD2D45"/>
    <w:rsid w:val="44DD300E"/>
    <w:rsid w:val="44E2656D"/>
    <w:rsid w:val="44EB7B0D"/>
    <w:rsid w:val="44F11452"/>
    <w:rsid w:val="45177BA4"/>
    <w:rsid w:val="451C551F"/>
    <w:rsid w:val="451F3CCA"/>
    <w:rsid w:val="45330E1E"/>
    <w:rsid w:val="45341196"/>
    <w:rsid w:val="45406783"/>
    <w:rsid w:val="454815E6"/>
    <w:rsid w:val="45493A4F"/>
    <w:rsid w:val="454E4188"/>
    <w:rsid w:val="456D1070"/>
    <w:rsid w:val="45727755"/>
    <w:rsid w:val="457917C1"/>
    <w:rsid w:val="458C45B3"/>
    <w:rsid w:val="459863E1"/>
    <w:rsid w:val="45A42B98"/>
    <w:rsid w:val="45BA5028"/>
    <w:rsid w:val="45BA67C5"/>
    <w:rsid w:val="45CA6C10"/>
    <w:rsid w:val="45D01294"/>
    <w:rsid w:val="45D40FC8"/>
    <w:rsid w:val="45DA3801"/>
    <w:rsid w:val="45E03532"/>
    <w:rsid w:val="45EE29BA"/>
    <w:rsid w:val="45F36896"/>
    <w:rsid w:val="46133AB8"/>
    <w:rsid w:val="46176AE3"/>
    <w:rsid w:val="461A01B5"/>
    <w:rsid w:val="461C06E4"/>
    <w:rsid w:val="462D3AE4"/>
    <w:rsid w:val="462D5957"/>
    <w:rsid w:val="465346A2"/>
    <w:rsid w:val="4654590D"/>
    <w:rsid w:val="46586687"/>
    <w:rsid w:val="466309D9"/>
    <w:rsid w:val="466A2150"/>
    <w:rsid w:val="466D3B0A"/>
    <w:rsid w:val="467C1F10"/>
    <w:rsid w:val="46844FFB"/>
    <w:rsid w:val="46864313"/>
    <w:rsid w:val="468C15DE"/>
    <w:rsid w:val="468F344C"/>
    <w:rsid w:val="46AE6C96"/>
    <w:rsid w:val="46CE17A4"/>
    <w:rsid w:val="46D81406"/>
    <w:rsid w:val="470073BC"/>
    <w:rsid w:val="471F3612"/>
    <w:rsid w:val="47222B40"/>
    <w:rsid w:val="472263BD"/>
    <w:rsid w:val="472D3683"/>
    <w:rsid w:val="472E599F"/>
    <w:rsid w:val="473B416A"/>
    <w:rsid w:val="473B7E9E"/>
    <w:rsid w:val="47453C8F"/>
    <w:rsid w:val="475B3378"/>
    <w:rsid w:val="4766347D"/>
    <w:rsid w:val="47744689"/>
    <w:rsid w:val="47804D07"/>
    <w:rsid w:val="47892374"/>
    <w:rsid w:val="478D4609"/>
    <w:rsid w:val="478D6A12"/>
    <w:rsid w:val="479415A3"/>
    <w:rsid w:val="47A32AF0"/>
    <w:rsid w:val="47AF032C"/>
    <w:rsid w:val="47B944A5"/>
    <w:rsid w:val="47BA0CEF"/>
    <w:rsid w:val="47C32A5B"/>
    <w:rsid w:val="47D66EC3"/>
    <w:rsid w:val="47D901CA"/>
    <w:rsid w:val="47E1410F"/>
    <w:rsid w:val="47EA4D37"/>
    <w:rsid w:val="47EC146A"/>
    <w:rsid w:val="47ED4D79"/>
    <w:rsid w:val="47F72E2F"/>
    <w:rsid w:val="47FF081D"/>
    <w:rsid w:val="4804170B"/>
    <w:rsid w:val="48334280"/>
    <w:rsid w:val="48386782"/>
    <w:rsid w:val="48455013"/>
    <w:rsid w:val="48481DF5"/>
    <w:rsid w:val="484B7369"/>
    <w:rsid w:val="48811612"/>
    <w:rsid w:val="488818E0"/>
    <w:rsid w:val="489A4DDC"/>
    <w:rsid w:val="48B2694A"/>
    <w:rsid w:val="48B45B1A"/>
    <w:rsid w:val="48CB69F5"/>
    <w:rsid w:val="48E06989"/>
    <w:rsid w:val="48E92C88"/>
    <w:rsid w:val="48EB1D85"/>
    <w:rsid w:val="49037136"/>
    <w:rsid w:val="490F2C08"/>
    <w:rsid w:val="4912133B"/>
    <w:rsid w:val="49124BE3"/>
    <w:rsid w:val="4919344E"/>
    <w:rsid w:val="494C141C"/>
    <w:rsid w:val="4987544D"/>
    <w:rsid w:val="49917904"/>
    <w:rsid w:val="499825EB"/>
    <w:rsid w:val="49AE3D92"/>
    <w:rsid w:val="49B16E5C"/>
    <w:rsid w:val="49BD0335"/>
    <w:rsid w:val="49C55CAD"/>
    <w:rsid w:val="49C85E49"/>
    <w:rsid w:val="49C92404"/>
    <w:rsid w:val="49CA0555"/>
    <w:rsid w:val="49CA225D"/>
    <w:rsid w:val="49E76347"/>
    <w:rsid w:val="4A0542C3"/>
    <w:rsid w:val="4A1203E3"/>
    <w:rsid w:val="4A17292A"/>
    <w:rsid w:val="4A341367"/>
    <w:rsid w:val="4A3C31F7"/>
    <w:rsid w:val="4A4E5485"/>
    <w:rsid w:val="4A537FAC"/>
    <w:rsid w:val="4A775569"/>
    <w:rsid w:val="4A863FBD"/>
    <w:rsid w:val="4A9F6495"/>
    <w:rsid w:val="4AA73893"/>
    <w:rsid w:val="4AA927DF"/>
    <w:rsid w:val="4AB0059C"/>
    <w:rsid w:val="4AB42822"/>
    <w:rsid w:val="4ABC5F42"/>
    <w:rsid w:val="4ABD2CBE"/>
    <w:rsid w:val="4ACA49FA"/>
    <w:rsid w:val="4ACC72A6"/>
    <w:rsid w:val="4AE8469B"/>
    <w:rsid w:val="4AED30D2"/>
    <w:rsid w:val="4AF05435"/>
    <w:rsid w:val="4AFE1C1B"/>
    <w:rsid w:val="4AFE69C7"/>
    <w:rsid w:val="4B15711B"/>
    <w:rsid w:val="4B225E8E"/>
    <w:rsid w:val="4B2734A1"/>
    <w:rsid w:val="4B385DEE"/>
    <w:rsid w:val="4B411040"/>
    <w:rsid w:val="4B503DE9"/>
    <w:rsid w:val="4B592E57"/>
    <w:rsid w:val="4B616766"/>
    <w:rsid w:val="4B725949"/>
    <w:rsid w:val="4B731311"/>
    <w:rsid w:val="4B7C7416"/>
    <w:rsid w:val="4B944A31"/>
    <w:rsid w:val="4B9A2375"/>
    <w:rsid w:val="4BA2015B"/>
    <w:rsid w:val="4BA228FC"/>
    <w:rsid w:val="4BB61B8E"/>
    <w:rsid w:val="4BB73BBE"/>
    <w:rsid w:val="4BBB0E8F"/>
    <w:rsid w:val="4BC2238E"/>
    <w:rsid w:val="4BEE21EB"/>
    <w:rsid w:val="4BFC35F4"/>
    <w:rsid w:val="4C021203"/>
    <w:rsid w:val="4C033CCF"/>
    <w:rsid w:val="4C096B05"/>
    <w:rsid w:val="4C1F7A5B"/>
    <w:rsid w:val="4C3D593F"/>
    <w:rsid w:val="4C5C5249"/>
    <w:rsid w:val="4C716A40"/>
    <w:rsid w:val="4C9A5F96"/>
    <w:rsid w:val="4C9B7DE3"/>
    <w:rsid w:val="4C9C02EA"/>
    <w:rsid w:val="4CA178A3"/>
    <w:rsid w:val="4CA2319E"/>
    <w:rsid w:val="4CA825C4"/>
    <w:rsid w:val="4CAB5A5B"/>
    <w:rsid w:val="4CB3138C"/>
    <w:rsid w:val="4CBA5D94"/>
    <w:rsid w:val="4CBE1543"/>
    <w:rsid w:val="4CBE1599"/>
    <w:rsid w:val="4CBE4760"/>
    <w:rsid w:val="4CC2581B"/>
    <w:rsid w:val="4CCC2062"/>
    <w:rsid w:val="4CD22DCA"/>
    <w:rsid w:val="4CF86DA4"/>
    <w:rsid w:val="4D020DA5"/>
    <w:rsid w:val="4D0A07A8"/>
    <w:rsid w:val="4D0D52CB"/>
    <w:rsid w:val="4D2C3BD6"/>
    <w:rsid w:val="4D382BBC"/>
    <w:rsid w:val="4D3861BB"/>
    <w:rsid w:val="4D3B0FA8"/>
    <w:rsid w:val="4D3D73EA"/>
    <w:rsid w:val="4D4C706D"/>
    <w:rsid w:val="4D542A44"/>
    <w:rsid w:val="4D566C49"/>
    <w:rsid w:val="4D6037A5"/>
    <w:rsid w:val="4D743AA4"/>
    <w:rsid w:val="4D962299"/>
    <w:rsid w:val="4D993267"/>
    <w:rsid w:val="4DA1355F"/>
    <w:rsid w:val="4DA537BB"/>
    <w:rsid w:val="4DA704E9"/>
    <w:rsid w:val="4DCD3BF8"/>
    <w:rsid w:val="4DD369EB"/>
    <w:rsid w:val="4DF67531"/>
    <w:rsid w:val="4DF9062B"/>
    <w:rsid w:val="4E014EF8"/>
    <w:rsid w:val="4E042D54"/>
    <w:rsid w:val="4E066E93"/>
    <w:rsid w:val="4E0F1F98"/>
    <w:rsid w:val="4E1D7E77"/>
    <w:rsid w:val="4E2121C3"/>
    <w:rsid w:val="4E236A05"/>
    <w:rsid w:val="4E400C95"/>
    <w:rsid w:val="4E51451A"/>
    <w:rsid w:val="4E5258CB"/>
    <w:rsid w:val="4E533241"/>
    <w:rsid w:val="4E6851E8"/>
    <w:rsid w:val="4E81673C"/>
    <w:rsid w:val="4E9911F1"/>
    <w:rsid w:val="4E9A78D9"/>
    <w:rsid w:val="4EB63F2F"/>
    <w:rsid w:val="4EED6A45"/>
    <w:rsid w:val="4EF614BA"/>
    <w:rsid w:val="4EF62402"/>
    <w:rsid w:val="4F35630A"/>
    <w:rsid w:val="4F362E18"/>
    <w:rsid w:val="4F391B29"/>
    <w:rsid w:val="4F540B41"/>
    <w:rsid w:val="4F547EAA"/>
    <w:rsid w:val="4F6F4C3A"/>
    <w:rsid w:val="4F801702"/>
    <w:rsid w:val="4F832885"/>
    <w:rsid w:val="4F9039FE"/>
    <w:rsid w:val="4F906E1C"/>
    <w:rsid w:val="4F9A3EE8"/>
    <w:rsid w:val="4FC04BE9"/>
    <w:rsid w:val="4FC70992"/>
    <w:rsid w:val="4FE24AA2"/>
    <w:rsid w:val="4FE35A6B"/>
    <w:rsid w:val="4FF31C42"/>
    <w:rsid w:val="4FF959D1"/>
    <w:rsid w:val="501164C5"/>
    <w:rsid w:val="50147128"/>
    <w:rsid w:val="501E62CD"/>
    <w:rsid w:val="50437224"/>
    <w:rsid w:val="50490678"/>
    <w:rsid w:val="504A448C"/>
    <w:rsid w:val="505064B7"/>
    <w:rsid w:val="505A512C"/>
    <w:rsid w:val="508A70E7"/>
    <w:rsid w:val="5098572F"/>
    <w:rsid w:val="50C019C2"/>
    <w:rsid w:val="50C5574D"/>
    <w:rsid w:val="50E93F38"/>
    <w:rsid w:val="50F018D3"/>
    <w:rsid w:val="50F47A17"/>
    <w:rsid w:val="511C0E10"/>
    <w:rsid w:val="51264D98"/>
    <w:rsid w:val="512736DD"/>
    <w:rsid w:val="512970FC"/>
    <w:rsid w:val="512B021F"/>
    <w:rsid w:val="513D38A6"/>
    <w:rsid w:val="51456AF4"/>
    <w:rsid w:val="514656F9"/>
    <w:rsid w:val="51543430"/>
    <w:rsid w:val="515A7FBE"/>
    <w:rsid w:val="515C1DCC"/>
    <w:rsid w:val="516537B8"/>
    <w:rsid w:val="5176068C"/>
    <w:rsid w:val="51790E28"/>
    <w:rsid w:val="51794371"/>
    <w:rsid w:val="519143C1"/>
    <w:rsid w:val="519B6609"/>
    <w:rsid w:val="51AA52EC"/>
    <w:rsid w:val="51B858B2"/>
    <w:rsid w:val="51BE6CEC"/>
    <w:rsid w:val="51C26588"/>
    <w:rsid w:val="51DE4114"/>
    <w:rsid w:val="51F45C0D"/>
    <w:rsid w:val="51F45EC8"/>
    <w:rsid w:val="51F50790"/>
    <w:rsid w:val="51FE2E2D"/>
    <w:rsid w:val="520F2ED4"/>
    <w:rsid w:val="521402BD"/>
    <w:rsid w:val="521B39C2"/>
    <w:rsid w:val="522B39FB"/>
    <w:rsid w:val="523F46D4"/>
    <w:rsid w:val="52414E5C"/>
    <w:rsid w:val="52432EED"/>
    <w:rsid w:val="52463FBA"/>
    <w:rsid w:val="5246669E"/>
    <w:rsid w:val="52470039"/>
    <w:rsid w:val="524A5D65"/>
    <w:rsid w:val="524C1BBF"/>
    <w:rsid w:val="524F4D3D"/>
    <w:rsid w:val="52523046"/>
    <w:rsid w:val="525536A6"/>
    <w:rsid w:val="526702D4"/>
    <w:rsid w:val="526C56C2"/>
    <w:rsid w:val="527A7082"/>
    <w:rsid w:val="529526FC"/>
    <w:rsid w:val="529B5AC6"/>
    <w:rsid w:val="52A17AC6"/>
    <w:rsid w:val="52B15073"/>
    <w:rsid w:val="52BE7AB5"/>
    <w:rsid w:val="52C04D72"/>
    <w:rsid w:val="52CA35B0"/>
    <w:rsid w:val="52D519EF"/>
    <w:rsid w:val="52DD15C5"/>
    <w:rsid w:val="52E66567"/>
    <w:rsid w:val="52EB09F8"/>
    <w:rsid w:val="52F63B4F"/>
    <w:rsid w:val="52FF56BD"/>
    <w:rsid w:val="53082F2C"/>
    <w:rsid w:val="53131C59"/>
    <w:rsid w:val="53135164"/>
    <w:rsid w:val="53182F46"/>
    <w:rsid w:val="5322539B"/>
    <w:rsid w:val="53290BA5"/>
    <w:rsid w:val="53345BA9"/>
    <w:rsid w:val="53375823"/>
    <w:rsid w:val="53396085"/>
    <w:rsid w:val="53581A40"/>
    <w:rsid w:val="535E4418"/>
    <w:rsid w:val="53670639"/>
    <w:rsid w:val="536D284B"/>
    <w:rsid w:val="53826F0F"/>
    <w:rsid w:val="53890894"/>
    <w:rsid w:val="53976460"/>
    <w:rsid w:val="539A1CA8"/>
    <w:rsid w:val="53A225C8"/>
    <w:rsid w:val="53B52EBA"/>
    <w:rsid w:val="53B84C8E"/>
    <w:rsid w:val="53BA78BF"/>
    <w:rsid w:val="53C44041"/>
    <w:rsid w:val="53C84DF5"/>
    <w:rsid w:val="53F4238E"/>
    <w:rsid w:val="53F52A77"/>
    <w:rsid w:val="53FD1C53"/>
    <w:rsid w:val="53FD5774"/>
    <w:rsid w:val="53FE7B3B"/>
    <w:rsid w:val="54060EEA"/>
    <w:rsid w:val="5414272D"/>
    <w:rsid w:val="54180015"/>
    <w:rsid w:val="541B2663"/>
    <w:rsid w:val="54403144"/>
    <w:rsid w:val="54645770"/>
    <w:rsid w:val="54871B54"/>
    <w:rsid w:val="549C19C9"/>
    <w:rsid w:val="549F3EDE"/>
    <w:rsid w:val="54AA3CD9"/>
    <w:rsid w:val="54AE44F5"/>
    <w:rsid w:val="54B76615"/>
    <w:rsid w:val="54C4300C"/>
    <w:rsid w:val="54CF4007"/>
    <w:rsid w:val="54D40C56"/>
    <w:rsid w:val="54EA3219"/>
    <w:rsid w:val="550118A5"/>
    <w:rsid w:val="55024C0E"/>
    <w:rsid w:val="55260BEE"/>
    <w:rsid w:val="552B3F7F"/>
    <w:rsid w:val="55582CBA"/>
    <w:rsid w:val="555F40D9"/>
    <w:rsid w:val="55703086"/>
    <w:rsid w:val="557A16A0"/>
    <w:rsid w:val="557B1A6C"/>
    <w:rsid w:val="559A22C4"/>
    <w:rsid w:val="559F228F"/>
    <w:rsid w:val="55B450E8"/>
    <w:rsid w:val="55B53B6E"/>
    <w:rsid w:val="55B54251"/>
    <w:rsid w:val="55C37E5B"/>
    <w:rsid w:val="55E8090D"/>
    <w:rsid w:val="56065076"/>
    <w:rsid w:val="5609094A"/>
    <w:rsid w:val="56261E61"/>
    <w:rsid w:val="562A1609"/>
    <w:rsid w:val="563F74A4"/>
    <w:rsid w:val="56505CDD"/>
    <w:rsid w:val="565411AF"/>
    <w:rsid w:val="566B53D2"/>
    <w:rsid w:val="566F2118"/>
    <w:rsid w:val="567B1141"/>
    <w:rsid w:val="569A3398"/>
    <w:rsid w:val="56A42083"/>
    <w:rsid w:val="56A54F36"/>
    <w:rsid w:val="56AD3DB8"/>
    <w:rsid w:val="56AD7471"/>
    <w:rsid w:val="56B600E7"/>
    <w:rsid w:val="56EB3361"/>
    <w:rsid w:val="56EC78CE"/>
    <w:rsid w:val="56F40954"/>
    <w:rsid w:val="56F62BBC"/>
    <w:rsid w:val="56F72F30"/>
    <w:rsid w:val="570D256E"/>
    <w:rsid w:val="57301450"/>
    <w:rsid w:val="5753468B"/>
    <w:rsid w:val="575B3101"/>
    <w:rsid w:val="575E31C9"/>
    <w:rsid w:val="5760479D"/>
    <w:rsid w:val="576864E6"/>
    <w:rsid w:val="576D43D6"/>
    <w:rsid w:val="57702B66"/>
    <w:rsid w:val="57706201"/>
    <w:rsid w:val="5779650A"/>
    <w:rsid w:val="578B6C5C"/>
    <w:rsid w:val="579F3628"/>
    <w:rsid w:val="57AB7E50"/>
    <w:rsid w:val="57B60FF7"/>
    <w:rsid w:val="57BA33E6"/>
    <w:rsid w:val="57CF6AB6"/>
    <w:rsid w:val="57F25C54"/>
    <w:rsid w:val="57FB3E24"/>
    <w:rsid w:val="58037259"/>
    <w:rsid w:val="580B1E0B"/>
    <w:rsid w:val="580E4C48"/>
    <w:rsid w:val="58164A86"/>
    <w:rsid w:val="58603614"/>
    <w:rsid w:val="58614F86"/>
    <w:rsid w:val="58615E6E"/>
    <w:rsid w:val="5862092D"/>
    <w:rsid w:val="58635793"/>
    <w:rsid w:val="58867580"/>
    <w:rsid w:val="588C11D6"/>
    <w:rsid w:val="5891677C"/>
    <w:rsid w:val="58A65F89"/>
    <w:rsid w:val="58B857D5"/>
    <w:rsid w:val="58C437C6"/>
    <w:rsid w:val="58D26120"/>
    <w:rsid w:val="58ED0E79"/>
    <w:rsid w:val="58EF47AD"/>
    <w:rsid w:val="58F466BA"/>
    <w:rsid w:val="58F7081F"/>
    <w:rsid w:val="58F74B2C"/>
    <w:rsid w:val="59033141"/>
    <w:rsid w:val="590D0D49"/>
    <w:rsid w:val="59350DC9"/>
    <w:rsid w:val="59477195"/>
    <w:rsid w:val="59491402"/>
    <w:rsid w:val="594F459C"/>
    <w:rsid w:val="595C25C6"/>
    <w:rsid w:val="595F13E9"/>
    <w:rsid w:val="59785D4E"/>
    <w:rsid w:val="597E2527"/>
    <w:rsid w:val="59863BD3"/>
    <w:rsid w:val="598962C6"/>
    <w:rsid w:val="599B51E7"/>
    <w:rsid w:val="599C57B4"/>
    <w:rsid w:val="599D32C2"/>
    <w:rsid w:val="59A84CD5"/>
    <w:rsid w:val="59AD045C"/>
    <w:rsid w:val="59B20FF7"/>
    <w:rsid w:val="59B368A5"/>
    <w:rsid w:val="59CA0DF6"/>
    <w:rsid w:val="59D05539"/>
    <w:rsid w:val="59E12D2E"/>
    <w:rsid w:val="59E56E97"/>
    <w:rsid w:val="59E62B08"/>
    <w:rsid w:val="59EE0B0E"/>
    <w:rsid w:val="5A074621"/>
    <w:rsid w:val="5A1B27B8"/>
    <w:rsid w:val="5A257513"/>
    <w:rsid w:val="5A4070A1"/>
    <w:rsid w:val="5A41505E"/>
    <w:rsid w:val="5A45611E"/>
    <w:rsid w:val="5A53639D"/>
    <w:rsid w:val="5A60385B"/>
    <w:rsid w:val="5A7C51C4"/>
    <w:rsid w:val="5A9121E4"/>
    <w:rsid w:val="5AC608F3"/>
    <w:rsid w:val="5ACA2411"/>
    <w:rsid w:val="5ACD1F95"/>
    <w:rsid w:val="5AE31485"/>
    <w:rsid w:val="5AF626D8"/>
    <w:rsid w:val="5AF62900"/>
    <w:rsid w:val="5AFC40F3"/>
    <w:rsid w:val="5B0144C5"/>
    <w:rsid w:val="5B0D46E9"/>
    <w:rsid w:val="5B22062D"/>
    <w:rsid w:val="5B2A552E"/>
    <w:rsid w:val="5B2B355B"/>
    <w:rsid w:val="5B3E3090"/>
    <w:rsid w:val="5B5D3FD1"/>
    <w:rsid w:val="5B736DFC"/>
    <w:rsid w:val="5B74248A"/>
    <w:rsid w:val="5B7C3A7D"/>
    <w:rsid w:val="5B834207"/>
    <w:rsid w:val="5B8675CA"/>
    <w:rsid w:val="5B916C99"/>
    <w:rsid w:val="5B9D0452"/>
    <w:rsid w:val="5BA652CD"/>
    <w:rsid w:val="5BAF5203"/>
    <w:rsid w:val="5BBA5EA7"/>
    <w:rsid w:val="5BDA1A02"/>
    <w:rsid w:val="5BDA3815"/>
    <w:rsid w:val="5BF113D0"/>
    <w:rsid w:val="5BFB37B7"/>
    <w:rsid w:val="5C027A32"/>
    <w:rsid w:val="5C100E26"/>
    <w:rsid w:val="5C2742CB"/>
    <w:rsid w:val="5C4C3CC9"/>
    <w:rsid w:val="5C501E02"/>
    <w:rsid w:val="5C527319"/>
    <w:rsid w:val="5C5A3F68"/>
    <w:rsid w:val="5C5C59BB"/>
    <w:rsid w:val="5C6A1E8C"/>
    <w:rsid w:val="5C6F3AA2"/>
    <w:rsid w:val="5C814A91"/>
    <w:rsid w:val="5C85298F"/>
    <w:rsid w:val="5C8D5052"/>
    <w:rsid w:val="5CB959C2"/>
    <w:rsid w:val="5CD446D2"/>
    <w:rsid w:val="5CDC5778"/>
    <w:rsid w:val="5CE70DB3"/>
    <w:rsid w:val="5CF20C05"/>
    <w:rsid w:val="5CF617C9"/>
    <w:rsid w:val="5CF63538"/>
    <w:rsid w:val="5D02785D"/>
    <w:rsid w:val="5D047EE8"/>
    <w:rsid w:val="5D0F6E62"/>
    <w:rsid w:val="5D126228"/>
    <w:rsid w:val="5D1949C1"/>
    <w:rsid w:val="5D1F3C0E"/>
    <w:rsid w:val="5D2F30A0"/>
    <w:rsid w:val="5D3A42DC"/>
    <w:rsid w:val="5D4D268A"/>
    <w:rsid w:val="5D512932"/>
    <w:rsid w:val="5D5A5C2C"/>
    <w:rsid w:val="5D695A9A"/>
    <w:rsid w:val="5D970977"/>
    <w:rsid w:val="5D9E3815"/>
    <w:rsid w:val="5DA70D78"/>
    <w:rsid w:val="5DBF0FAE"/>
    <w:rsid w:val="5DBF75AC"/>
    <w:rsid w:val="5DC938A4"/>
    <w:rsid w:val="5DCA063B"/>
    <w:rsid w:val="5DCE771F"/>
    <w:rsid w:val="5DD2010D"/>
    <w:rsid w:val="5DD3556C"/>
    <w:rsid w:val="5DDC1442"/>
    <w:rsid w:val="5DE6704B"/>
    <w:rsid w:val="5DEB643D"/>
    <w:rsid w:val="5DEC3B70"/>
    <w:rsid w:val="5DF84369"/>
    <w:rsid w:val="5DF92DCB"/>
    <w:rsid w:val="5E091FB5"/>
    <w:rsid w:val="5E280CB5"/>
    <w:rsid w:val="5E447267"/>
    <w:rsid w:val="5E4A572D"/>
    <w:rsid w:val="5E552F43"/>
    <w:rsid w:val="5E5667A6"/>
    <w:rsid w:val="5E584C1E"/>
    <w:rsid w:val="5E676802"/>
    <w:rsid w:val="5E6C7C78"/>
    <w:rsid w:val="5E72699B"/>
    <w:rsid w:val="5E7D58D4"/>
    <w:rsid w:val="5E7E1952"/>
    <w:rsid w:val="5E815CED"/>
    <w:rsid w:val="5E887A26"/>
    <w:rsid w:val="5E8C092C"/>
    <w:rsid w:val="5E8F0811"/>
    <w:rsid w:val="5E9241BA"/>
    <w:rsid w:val="5E9B5339"/>
    <w:rsid w:val="5E9C5D0D"/>
    <w:rsid w:val="5EC56393"/>
    <w:rsid w:val="5EE84D05"/>
    <w:rsid w:val="5EF078DD"/>
    <w:rsid w:val="5EF93C82"/>
    <w:rsid w:val="5EFE34A1"/>
    <w:rsid w:val="5F1511CE"/>
    <w:rsid w:val="5F173FD8"/>
    <w:rsid w:val="5F2F0926"/>
    <w:rsid w:val="5F4C340D"/>
    <w:rsid w:val="5F6D40A8"/>
    <w:rsid w:val="5F6E2815"/>
    <w:rsid w:val="5F78194C"/>
    <w:rsid w:val="5F7C06D8"/>
    <w:rsid w:val="5FC00E55"/>
    <w:rsid w:val="5FC9651B"/>
    <w:rsid w:val="5FD9462B"/>
    <w:rsid w:val="5FDC50D3"/>
    <w:rsid w:val="5FE50141"/>
    <w:rsid w:val="5FF47D5A"/>
    <w:rsid w:val="5FF52863"/>
    <w:rsid w:val="5FFB6305"/>
    <w:rsid w:val="60011320"/>
    <w:rsid w:val="600C707B"/>
    <w:rsid w:val="601A30B9"/>
    <w:rsid w:val="601B7409"/>
    <w:rsid w:val="604D6744"/>
    <w:rsid w:val="605001FB"/>
    <w:rsid w:val="6052722B"/>
    <w:rsid w:val="6057025C"/>
    <w:rsid w:val="606F133D"/>
    <w:rsid w:val="6091556C"/>
    <w:rsid w:val="60916901"/>
    <w:rsid w:val="609722C3"/>
    <w:rsid w:val="60993336"/>
    <w:rsid w:val="60A27DAC"/>
    <w:rsid w:val="60B91733"/>
    <w:rsid w:val="610468AF"/>
    <w:rsid w:val="610B115D"/>
    <w:rsid w:val="61154047"/>
    <w:rsid w:val="611B733C"/>
    <w:rsid w:val="612650A2"/>
    <w:rsid w:val="61275225"/>
    <w:rsid w:val="614041D7"/>
    <w:rsid w:val="615218CE"/>
    <w:rsid w:val="6159334F"/>
    <w:rsid w:val="615F1540"/>
    <w:rsid w:val="616C655B"/>
    <w:rsid w:val="616E381D"/>
    <w:rsid w:val="61831480"/>
    <w:rsid w:val="61A21ED5"/>
    <w:rsid w:val="61B03D5D"/>
    <w:rsid w:val="61BA5EFD"/>
    <w:rsid w:val="61C7660C"/>
    <w:rsid w:val="61D32EDF"/>
    <w:rsid w:val="61D81BE2"/>
    <w:rsid w:val="61DC2856"/>
    <w:rsid w:val="61E05FD1"/>
    <w:rsid w:val="61E93AD6"/>
    <w:rsid w:val="61EF6504"/>
    <w:rsid w:val="61F21311"/>
    <w:rsid w:val="61F46AE6"/>
    <w:rsid w:val="61FA435F"/>
    <w:rsid w:val="620100B1"/>
    <w:rsid w:val="62190F45"/>
    <w:rsid w:val="62193B80"/>
    <w:rsid w:val="621B4181"/>
    <w:rsid w:val="622337F8"/>
    <w:rsid w:val="622E64B5"/>
    <w:rsid w:val="62353B47"/>
    <w:rsid w:val="62376441"/>
    <w:rsid w:val="624076D6"/>
    <w:rsid w:val="624E0A1E"/>
    <w:rsid w:val="628C53F9"/>
    <w:rsid w:val="62A20B07"/>
    <w:rsid w:val="62A414E0"/>
    <w:rsid w:val="62CC77CB"/>
    <w:rsid w:val="62D84910"/>
    <w:rsid w:val="62F3784F"/>
    <w:rsid w:val="62FF3FB5"/>
    <w:rsid w:val="63021DE2"/>
    <w:rsid w:val="630470FC"/>
    <w:rsid w:val="63112339"/>
    <w:rsid w:val="63263D27"/>
    <w:rsid w:val="632C2662"/>
    <w:rsid w:val="633E00F1"/>
    <w:rsid w:val="63737395"/>
    <w:rsid w:val="63790652"/>
    <w:rsid w:val="63872422"/>
    <w:rsid w:val="63AA5332"/>
    <w:rsid w:val="63AD3D48"/>
    <w:rsid w:val="63C61233"/>
    <w:rsid w:val="63C9337D"/>
    <w:rsid w:val="63D636DE"/>
    <w:rsid w:val="63D80F09"/>
    <w:rsid w:val="63F41E1A"/>
    <w:rsid w:val="63F92C54"/>
    <w:rsid w:val="63FF6AFB"/>
    <w:rsid w:val="640F122C"/>
    <w:rsid w:val="64207602"/>
    <w:rsid w:val="642A2A58"/>
    <w:rsid w:val="642C1CBD"/>
    <w:rsid w:val="64391A57"/>
    <w:rsid w:val="64585109"/>
    <w:rsid w:val="645F7031"/>
    <w:rsid w:val="646F0CA8"/>
    <w:rsid w:val="64881679"/>
    <w:rsid w:val="649F7EFD"/>
    <w:rsid w:val="64B55A95"/>
    <w:rsid w:val="64B64B66"/>
    <w:rsid w:val="64B86E2A"/>
    <w:rsid w:val="64B97E7D"/>
    <w:rsid w:val="64C12A40"/>
    <w:rsid w:val="64C15487"/>
    <w:rsid w:val="64C51685"/>
    <w:rsid w:val="64D3637A"/>
    <w:rsid w:val="64F9719D"/>
    <w:rsid w:val="64FB6A0C"/>
    <w:rsid w:val="65137300"/>
    <w:rsid w:val="6523237F"/>
    <w:rsid w:val="6526740F"/>
    <w:rsid w:val="653065E5"/>
    <w:rsid w:val="65306922"/>
    <w:rsid w:val="653D241F"/>
    <w:rsid w:val="65427A5A"/>
    <w:rsid w:val="6556674F"/>
    <w:rsid w:val="655F2B6C"/>
    <w:rsid w:val="65604685"/>
    <w:rsid w:val="658306AF"/>
    <w:rsid w:val="65862CD9"/>
    <w:rsid w:val="6588686F"/>
    <w:rsid w:val="659D30AE"/>
    <w:rsid w:val="659E46D8"/>
    <w:rsid w:val="65A57048"/>
    <w:rsid w:val="65B50E5A"/>
    <w:rsid w:val="65CE1AC2"/>
    <w:rsid w:val="65D54781"/>
    <w:rsid w:val="65E20BEB"/>
    <w:rsid w:val="65E9455D"/>
    <w:rsid w:val="65F5381A"/>
    <w:rsid w:val="660306FC"/>
    <w:rsid w:val="660867AF"/>
    <w:rsid w:val="662D27C6"/>
    <w:rsid w:val="66422500"/>
    <w:rsid w:val="66452FE9"/>
    <w:rsid w:val="664F2C85"/>
    <w:rsid w:val="667138C1"/>
    <w:rsid w:val="66721EE5"/>
    <w:rsid w:val="667658CE"/>
    <w:rsid w:val="668253FA"/>
    <w:rsid w:val="66866207"/>
    <w:rsid w:val="668D7DF1"/>
    <w:rsid w:val="66971FDD"/>
    <w:rsid w:val="669B796C"/>
    <w:rsid w:val="66AB0F2F"/>
    <w:rsid w:val="66D57E1A"/>
    <w:rsid w:val="66D60DB1"/>
    <w:rsid w:val="66E561D8"/>
    <w:rsid w:val="66F00AF0"/>
    <w:rsid w:val="6700750E"/>
    <w:rsid w:val="672D6458"/>
    <w:rsid w:val="67302DC7"/>
    <w:rsid w:val="6737780D"/>
    <w:rsid w:val="673C3B6F"/>
    <w:rsid w:val="674A1D86"/>
    <w:rsid w:val="67580868"/>
    <w:rsid w:val="67605601"/>
    <w:rsid w:val="67610EFA"/>
    <w:rsid w:val="6774671F"/>
    <w:rsid w:val="678D4AE5"/>
    <w:rsid w:val="678D5B85"/>
    <w:rsid w:val="67944F09"/>
    <w:rsid w:val="67995A29"/>
    <w:rsid w:val="67B44238"/>
    <w:rsid w:val="67DC482A"/>
    <w:rsid w:val="67E12C86"/>
    <w:rsid w:val="67E55620"/>
    <w:rsid w:val="67E6770C"/>
    <w:rsid w:val="67EA5494"/>
    <w:rsid w:val="67ED1ADF"/>
    <w:rsid w:val="67FA4EE8"/>
    <w:rsid w:val="68091997"/>
    <w:rsid w:val="6815717B"/>
    <w:rsid w:val="681B7F08"/>
    <w:rsid w:val="682E0999"/>
    <w:rsid w:val="68347A35"/>
    <w:rsid w:val="683F785D"/>
    <w:rsid w:val="684B6558"/>
    <w:rsid w:val="684D6D87"/>
    <w:rsid w:val="685066D9"/>
    <w:rsid w:val="68525B9B"/>
    <w:rsid w:val="686772A0"/>
    <w:rsid w:val="688432AD"/>
    <w:rsid w:val="6886482A"/>
    <w:rsid w:val="688E57BC"/>
    <w:rsid w:val="68904BFB"/>
    <w:rsid w:val="689952C4"/>
    <w:rsid w:val="68A0499E"/>
    <w:rsid w:val="68AB1346"/>
    <w:rsid w:val="68AE3670"/>
    <w:rsid w:val="68BE0F22"/>
    <w:rsid w:val="68C332BA"/>
    <w:rsid w:val="68C708F2"/>
    <w:rsid w:val="68D56251"/>
    <w:rsid w:val="68D91E18"/>
    <w:rsid w:val="68EF5946"/>
    <w:rsid w:val="68F63542"/>
    <w:rsid w:val="68F71051"/>
    <w:rsid w:val="68FA41D4"/>
    <w:rsid w:val="68FF6567"/>
    <w:rsid w:val="69116B3B"/>
    <w:rsid w:val="69224F6C"/>
    <w:rsid w:val="69236D94"/>
    <w:rsid w:val="69240115"/>
    <w:rsid w:val="693118AD"/>
    <w:rsid w:val="69603C4B"/>
    <w:rsid w:val="69614422"/>
    <w:rsid w:val="69683F1C"/>
    <w:rsid w:val="69691AF2"/>
    <w:rsid w:val="6992371B"/>
    <w:rsid w:val="69930E11"/>
    <w:rsid w:val="699C0EF8"/>
    <w:rsid w:val="69A97A6D"/>
    <w:rsid w:val="69AB5DBB"/>
    <w:rsid w:val="69AE296B"/>
    <w:rsid w:val="69B840F1"/>
    <w:rsid w:val="69BA273C"/>
    <w:rsid w:val="69C70A94"/>
    <w:rsid w:val="69C91948"/>
    <w:rsid w:val="69E278A9"/>
    <w:rsid w:val="69EA6219"/>
    <w:rsid w:val="69F270EC"/>
    <w:rsid w:val="69FA7461"/>
    <w:rsid w:val="6A006210"/>
    <w:rsid w:val="6A144F48"/>
    <w:rsid w:val="6A16230F"/>
    <w:rsid w:val="6A2826A1"/>
    <w:rsid w:val="6A35574E"/>
    <w:rsid w:val="6A4F016E"/>
    <w:rsid w:val="6A551347"/>
    <w:rsid w:val="6A5660EE"/>
    <w:rsid w:val="6A5D1911"/>
    <w:rsid w:val="6A684453"/>
    <w:rsid w:val="6A76653B"/>
    <w:rsid w:val="6A817161"/>
    <w:rsid w:val="6A8672C0"/>
    <w:rsid w:val="6A9F3407"/>
    <w:rsid w:val="6A9F7377"/>
    <w:rsid w:val="6AA43F61"/>
    <w:rsid w:val="6AA45AEE"/>
    <w:rsid w:val="6AAA05A9"/>
    <w:rsid w:val="6AB23AFF"/>
    <w:rsid w:val="6ABB7ADD"/>
    <w:rsid w:val="6ADA1BD4"/>
    <w:rsid w:val="6AE6019D"/>
    <w:rsid w:val="6AE60B4C"/>
    <w:rsid w:val="6AFD2B5A"/>
    <w:rsid w:val="6B007B1A"/>
    <w:rsid w:val="6B0745B1"/>
    <w:rsid w:val="6B082E0D"/>
    <w:rsid w:val="6B1D06CF"/>
    <w:rsid w:val="6B1D164E"/>
    <w:rsid w:val="6B352428"/>
    <w:rsid w:val="6B3529D0"/>
    <w:rsid w:val="6B394AB0"/>
    <w:rsid w:val="6B3C6A10"/>
    <w:rsid w:val="6B5B3158"/>
    <w:rsid w:val="6B726A7C"/>
    <w:rsid w:val="6B791F66"/>
    <w:rsid w:val="6B831A14"/>
    <w:rsid w:val="6B83326D"/>
    <w:rsid w:val="6B8902B7"/>
    <w:rsid w:val="6BB031F3"/>
    <w:rsid w:val="6BBA5C26"/>
    <w:rsid w:val="6BC644EC"/>
    <w:rsid w:val="6BCE547C"/>
    <w:rsid w:val="6BD12216"/>
    <w:rsid w:val="6BD36B59"/>
    <w:rsid w:val="6BE40763"/>
    <w:rsid w:val="6BE963BE"/>
    <w:rsid w:val="6C064B82"/>
    <w:rsid w:val="6C0F365E"/>
    <w:rsid w:val="6C144574"/>
    <w:rsid w:val="6C1955C6"/>
    <w:rsid w:val="6C2134AC"/>
    <w:rsid w:val="6C2E2CA9"/>
    <w:rsid w:val="6C303A23"/>
    <w:rsid w:val="6C3B5B67"/>
    <w:rsid w:val="6C3C4B56"/>
    <w:rsid w:val="6C3E04E7"/>
    <w:rsid w:val="6C3E3641"/>
    <w:rsid w:val="6C740601"/>
    <w:rsid w:val="6C910F27"/>
    <w:rsid w:val="6C98364A"/>
    <w:rsid w:val="6C9900A7"/>
    <w:rsid w:val="6CA85C44"/>
    <w:rsid w:val="6CAE41DB"/>
    <w:rsid w:val="6CCF4943"/>
    <w:rsid w:val="6CD31D46"/>
    <w:rsid w:val="6CD85C69"/>
    <w:rsid w:val="6CF05725"/>
    <w:rsid w:val="6D0B6999"/>
    <w:rsid w:val="6D297108"/>
    <w:rsid w:val="6D3F20ED"/>
    <w:rsid w:val="6D464DCC"/>
    <w:rsid w:val="6D4B15B7"/>
    <w:rsid w:val="6D616216"/>
    <w:rsid w:val="6D6D1CA4"/>
    <w:rsid w:val="6D86222D"/>
    <w:rsid w:val="6D932C97"/>
    <w:rsid w:val="6DA225C5"/>
    <w:rsid w:val="6DB630F7"/>
    <w:rsid w:val="6DC47032"/>
    <w:rsid w:val="6DD44622"/>
    <w:rsid w:val="6DE56DC9"/>
    <w:rsid w:val="6DE6151B"/>
    <w:rsid w:val="6E04099A"/>
    <w:rsid w:val="6E073AA1"/>
    <w:rsid w:val="6E0C2506"/>
    <w:rsid w:val="6E0E61FC"/>
    <w:rsid w:val="6E135FA3"/>
    <w:rsid w:val="6E142FDE"/>
    <w:rsid w:val="6E2C0800"/>
    <w:rsid w:val="6E2D2696"/>
    <w:rsid w:val="6E3101C1"/>
    <w:rsid w:val="6E3D0D0F"/>
    <w:rsid w:val="6E451A64"/>
    <w:rsid w:val="6E4C2E1B"/>
    <w:rsid w:val="6E50622A"/>
    <w:rsid w:val="6E6601FA"/>
    <w:rsid w:val="6E67698D"/>
    <w:rsid w:val="6E6839F7"/>
    <w:rsid w:val="6E733F82"/>
    <w:rsid w:val="6E7F3A04"/>
    <w:rsid w:val="6E874489"/>
    <w:rsid w:val="6E990363"/>
    <w:rsid w:val="6EA0744D"/>
    <w:rsid w:val="6EA3291D"/>
    <w:rsid w:val="6EA67504"/>
    <w:rsid w:val="6EAC5A00"/>
    <w:rsid w:val="6EAF251D"/>
    <w:rsid w:val="6EBF7C3D"/>
    <w:rsid w:val="6ED35563"/>
    <w:rsid w:val="6ED45F4F"/>
    <w:rsid w:val="6EDD75A0"/>
    <w:rsid w:val="6F036E0E"/>
    <w:rsid w:val="6F0D2298"/>
    <w:rsid w:val="6F0D33BA"/>
    <w:rsid w:val="6F347721"/>
    <w:rsid w:val="6F37324B"/>
    <w:rsid w:val="6F4B77AB"/>
    <w:rsid w:val="6F587E59"/>
    <w:rsid w:val="6F5A407F"/>
    <w:rsid w:val="6F764E6A"/>
    <w:rsid w:val="6F85734A"/>
    <w:rsid w:val="6F9045BD"/>
    <w:rsid w:val="6F991282"/>
    <w:rsid w:val="6FA9697D"/>
    <w:rsid w:val="6FAD4095"/>
    <w:rsid w:val="6FB25FA0"/>
    <w:rsid w:val="6FD071A2"/>
    <w:rsid w:val="6FD57D31"/>
    <w:rsid w:val="6FD969D9"/>
    <w:rsid w:val="6FDF42CC"/>
    <w:rsid w:val="6FF26675"/>
    <w:rsid w:val="6FF6595B"/>
    <w:rsid w:val="6FF67A18"/>
    <w:rsid w:val="700A32D4"/>
    <w:rsid w:val="702E4E9C"/>
    <w:rsid w:val="70512274"/>
    <w:rsid w:val="705852B6"/>
    <w:rsid w:val="7060190F"/>
    <w:rsid w:val="70690FFD"/>
    <w:rsid w:val="7071512F"/>
    <w:rsid w:val="70813DA5"/>
    <w:rsid w:val="70821E7B"/>
    <w:rsid w:val="70836044"/>
    <w:rsid w:val="70963635"/>
    <w:rsid w:val="709E757C"/>
    <w:rsid w:val="70AB6982"/>
    <w:rsid w:val="70B960E4"/>
    <w:rsid w:val="70CE2945"/>
    <w:rsid w:val="70EB4A4F"/>
    <w:rsid w:val="710003A8"/>
    <w:rsid w:val="710F0BB8"/>
    <w:rsid w:val="71194261"/>
    <w:rsid w:val="711C5BB5"/>
    <w:rsid w:val="71244848"/>
    <w:rsid w:val="71282263"/>
    <w:rsid w:val="713F6DE5"/>
    <w:rsid w:val="7144689C"/>
    <w:rsid w:val="714856ED"/>
    <w:rsid w:val="715C773D"/>
    <w:rsid w:val="71646E80"/>
    <w:rsid w:val="717E5F2F"/>
    <w:rsid w:val="71802D16"/>
    <w:rsid w:val="71885178"/>
    <w:rsid w:val="718B15C7"/>
    <w:rsid w:val="719123C0"/>
    <w:rsid w:val="71B2274D"/>
    <w:rsid w:val="71BF4E45"/>
    <w:rsid w:val="71C20258"/>
    <w:rsid w:val="71CC6C4D"/>
    <w:rsid w:val="71CC7EBE"/>
    <w:rsid w:val="71CF4FAF"/>
    <w:rsid w:val="71D20555"/>
    <w:rsid w:val="71D67EC9"/>
    <w:rsid w:val="71DA77B8"/>
    <w:rsid w:val="71F65975"/>
    <w:rsid w:val="72094247"/>
    <w:rsid w:val="72175EF9"/>
    <w:rsid w:val="722C65AF"/>
    <w:rsid w:val="72355C90"/>
    <w:rsid w:val="72370EF3"/>
    <w:rsid w:val="72385EDF"/>
    <w:rsid w:val="723E1C2C"/>
    <w:rsid w:val="724428D2"/>
    <w:rsid w:val="724A0B59"/>
    <w:rsid w:val="724B3C7A"/>
    <w:rsid w:val="72520EDB"/>
    <w:rsid w:val="72522107"/>
    <w:rsid w:val="7258227F"/>
    <w:rsid w:val="726E3801"/>
    <w:rsid w:val="72713F85"/>
    <w:rsid w:val="72725AF0"/>
    <w:rsid w:val="727E25B6"/>
    <w:rsid w:val="729B4A28"/>
    <w:rsid w:val="72A264DB"/>
    <w:rsid w:val="72AB1876"/>
    <w:rsid w:val="72BD48D1"/>
    <w:rsid w:val="72C65D78"/>
    <w:rsid w:val="72D7336E"/>
    <w:rsid w:val="72DD293A"/>
    <w:rsid w:val="72DD3ADE"/>
    <w:rsid w:val="72FD0906"/>
    <w:rsid w:val="730821E6"/>
    <w:rsid w:val="730844CE"/>
    <w:rsid w:val="730D5259"/>
    <w:rsid w:val="731558E2"/>
    <w:rsid w:val="732773E9"/>
    <w:rsid w:val="73301EAE"/>
    <w:rsid w:val="73611B07"/>
    <w:rsid w:val="737226E9"/>
    <w:rsid w:val="737469E5"/>
    <w:rsid w:val="73795D74"/>
    <w:rsid w:val="739509FA"/>
    <w:rsid w:val="73A80755"/>
    <w:rsid w:val="73AB3929"/>
    <w:rsid w:val="73BA1B3F"/>
    <w:rsid w:val="73BE1C39"/>
    <w:rsid w:val="73BF2CF4"/>
    <w:rsid w:val="73C4164C"/>
    <w:rsid w:val="73CC653A"/>
    <w:rsid w:val="73D159A1"/>
    <w:rsid w:val="73DB1E90"/>
    <w:rsid w:val="73F35C20"/>
    <w:rsid w:val="73F8462A"/>
    <w:rsid w:val="73FC18A8"/>
    <w:rsid w:val="740E2512"/>
    <w:rsid w:val="74102CEB"/>
    <w:rsid w:val="74143761"/>
    <w:rsid w:val="741A683F"/>
    <w:rsid w:val="741D2D43"/>
    <w:rsid w:val="7420022B"/>
    <w:rsid w:val="74360755"/>
    <w:rsid w:val="744534A1"/>
    <w:rsid w:val="744B2D6B"/>
    <w:rsid w:val="74547AA5"/>
    <w:rsid w:val="745F4062"/>
    <w:rsid w:val="74723C1D"/>
    <w:rsid w:val="74963A01"/>
    <w:rsid w:val="74A76A68"/>
    <w:rsid w:val="74AA7903"/>
    <w:rsid w:val="74B15833"/>
    <w:rsid w:val="74C44F73"/>
    <w:rsid w:val="74D04EEC"/>
    <w:rsid w:val="74DA2A85"/>
    <w:rsid w:val="74DF558B"/>
    <w:rsid w:val="74EE1D1B"/>
    <w:rsid w:val="74F826B3"/>
    <w:rsid w:val="74F9578E"/>
    <w:rsid w:val="750508FC"/>
    <w:rsid w:val="75067D82"/>
    <w:rsid w:val="75152359"/>
    <w:rsid w:val="75171FE9"/>
    <w:rsid w:val="7523445E"/>
    <w:rsid w:val="75261BB9"/>
    <w:rsid w:val="752955C7"/>
    <w:rsid w:val="752C10EC"/>
    <w:rsid w:val="7531728C"/>
    <w:rsid w:val="753F1840"/>
    <w:rsid w:val="75473AB6"/>
    <w:rsid w:val="754872BD"/>
    <w:rsid w:val="755301BC"/>
    <w:rsid w:val="75583501"/>
    <w:rsid w:val="755A639D"/>
    <w:rsid w:val="75612341"/>
    <w:rsid w:val="75625B83"/>
    <w:rsid w:val="75723811"/>
    <w:rsid w:val="75771E25"/>
    <w:rsid w:val="757E24B0"/>
    <w:rsid w:val="75882465"/>
    <w:rsid w:val="75984531"/>
    <w:rsid w:val="759D4241"/>
    <w:rsid w:val="75B31C31"/>
    <w:rsid w:val="75BC382A"/>
    <w:rsid w:val="75C43880"/>
    <w:rsid w:val="75CA48E7"/>
    <w:rsid w:val="75CB4657"/>
    <w:rsid w:val="75D27343"/>
    <w:rsid w:val="75E027FD"/>
    <w:rsid w:val="75EC0FFF"/>
    <w:rsid w:val="7621144B"/>
    <w:rsid w:val="764B40C3"/>
    <w:rsid w:val="765629A7"/>
    <w:rsid w:val="76696CF2"/>
    <w:rsid w:val="766E39EB"/>
    <w:rsid w:val="76752691"/>
    <w:rsid w:val="76830E89"/>
    <w:rsid w:val="76924971"/>
    <w:rsid w:val="76933E2E"/>
    <w:rsid w:val="76A27B4C"/>
    <w:rsid w:val="76B1547E"/>
    <w:rsid w:val="76B918A6"/>
    <w:rsid w:val="76BC587C"/>
    <w:rsid w:val="76BF7808"/>
    <w:rsid w:val="76C00AFC"/>
    <w:rsid w:val="76CF642B"/>
    <w:rsid w:val="76D42DE0"/>
    <w:rsid w:val="76E46C5B"/>
    <w:rsid w:val="76ED1347"/>
    <w:rsid w:val="76F433E8"/>
    <w:rsid w:val="7704728C"/>
    <w:rsid w:val="77074DC9"/>
    <w:rsid w:val="771946D8"/>
    <w:rsid w:val="772268FD"/>
    <w:rsid w:val="772C4AC2"/>
    <w:rsid w:val="77443416"/>
    <w:rsid w:val="77474684"/>
    <w:rsid w:val="775666E2"/>
    <w:rsid w:val="775C5F02"/>
    <w:rsid w:val="77622298"/>
    <w:rsid w:val="77740D87"/>
    <w:rsid w:val="7781530A"/>
    <w:rsid w:val="77A82770"/>
    <w:rsid w:val="77B05480"/>
    <w:rsid w:val="77BD7E72"/>
    <w:rsid w:val="77BE4E05"/>
    <w:rsid w:val="77DE0B9E"/>
    <w:rsid w:val="77E01C10"/>
    <w:rsid w:val="77ED0386"/>
    <w:rsid w:val="77F72469"/>
    <w:rsid w:val="78010A40"/>
    <w:rsid w:val="78073F66"/>
    <w:rsid w:val="78182368"/>
    <w:rsid w:val="781C24D1"/>
    <w:rsid w:val="78366B8C"/>
    <w:rsid w:val="783B287A"/>
    <w:rsid w:val="78482C69"/>
    <w:rsid w:val="78530405"/>
    <w:rsid w:val="786F4C48"/>
    <w:rsid w:val="78727815"/>
    <w:rsid w:val="78975799"/>
    <w:rsid w:val="78B43B82"/>
    <w:rsid w:val="78BB37F4"/>
    <w:rsid w:val="78BB76EA"/>
    <w:rsid w:val="78BF3E73"/>
    <w:rsid w:val="78F65C61"/>
    <w:rsid w:val="78FB1BD1"/>
    <w:rsid w:val="790D1EA5"/>
    <w:rsid w:val="790E0880"/>
    <w:rsid w:val="791070B1"/>
    <w:rsid w:val="79140D6E"/>
    <w:rsid w:val="791F30EE"/>
    <w:rsid w:val="79213328"/>
    <w:rsid w:val="792A2324"/>
    <w:rsid w:val="792E2735"/>
    <w:rsid w:val="793A300B"/>
    <w:rsid w:val="7964511F"/>
    <w:rsid w:val="79657B9B"/>
    <w:rsid w:val="796758AA"/>
    <w:rsid w:val="797A3B82"/>
    <w:rsid w:val="799550A7"/>
    <w:rsid w:val="799B3198"/>
    <w:rsid w:val="799E7491"/>
    <w:rsid w:val="799F3F47"/>
    <w:rsid w:val="79A72484"/>
    <w:rsid w:val="79B34316"/>
    <w:rsid w:val="79BA471D"/>
    <w:rsid w:val="79D61F0F"/>
    <w:rsid w:val="79DF005F"/>
    <w:rsid w:val="79E028EC"/>
    <w:rsid w:val="7A030783"/>
    <w:rsid w:val="7A08028E"/>
    <w:rsid w:val="7A114E8A"/>
    <w:rsid w:val="7A1C5B1C"/>
    <w:rsid w:val="7A2C78B9"/>
    <w:rsid w:val="7A2F45AA"/>
    <w:rsid w:val="7A310807"/>
    <w:rsid w:val="7A337EA4"/>
    <w:rsid w:val="7A4653BA"/>
    <w:rsid w:val="7A4C589B"/>
    <w:rsid w:val="7A552383"/>
    <w:rsid w:val="7A765EEC"/>
    <w:rsid w:val="7A790CA9"/>
    <w:rsid w:val="7A8569C5"/>
    <w:rsid w:val="7A8B7B18"/>
    <w:rsid w:val="7A964FA1"/>
    <w:rsid w:val="7AB83F1D"/>
    <w:rsid w:val="7AD12652"/>
    <w:rsid w:val="7AD234FC"/>
    <w:rsid w:val="7AD9771D"/>
    <w:rsid w:val="7ADA1DE7"/>
    <w:rsid w:val="7AE2061C"/>
    <w:rsid w:val="7B002131"/>
    <w:rsid w:val="7B0667B1"/>
    <w:rsid w:val="7B0864F6"/>
    <w:rsid w:val="7B0C281C"/>
    <w:rsid w:val="7B1B16D3"/>
    <w:rsid w:val="7B246930"/>
    <w:rsid w:val="7B2E6780"/>
    <w:rsid w:val="7B322A02"/>
    <w:rsid w:val="7B474C32"/>
    <w:rsid w:val="7B5802CE"/>
    <w:rsid w:val="7B5A05B9"/>
    <w:rsid w:val="7B5D217A"/>
    <w:rsid w:val="7B5F4A3D"/>
    <w:rsid w:val="7B614801"/>
    <w:rsid w:val="7B62528D"/>
    <w:rsid w:val="7B684A54"/>
    <w:rsid w:val="7B7706D6"/>
    <w:rsid w:val="7B8834E1"/>
    <w:rsid w:val="7B8E7CB4"/>
    <w:rsid w:val="7B913B86"/>
    <w:rsid w:val="7B97422A"/>
    <w:rsid w:val="7B9E1B3D"/>
    <w:rsid w:val="7BA969F0"/>
    <w:rsid w:val="7BB31B68"/>
    <w:rsid w:val="7BF25C10"/>
    <w:rsid w:val="7C014819"/>
    <w:rsid w:val="7C071C5F"/>
    <w:rsid w:val="7C0F5771"/>
    <w:rsid w:val="7C194469"/>
    <w:rsid w:val="7C1A6CD5"/>
    <w:rsid w:val="7C2630F4"/>
    <w:rsid w:val="7C3C031E"/>
    <w:rsid w:val="7C45471C"/>
    <w:rsid w:val="7C7E27D3"/>
    <w:rsid w:val="7C7F3629"/>
    <w:rsid w:val="7C8414C8"/>
    <w:rsid w:val="7C881C2C"/>
    <w:rsid w:val="7C8B7A6D"/>
    <w:rsid w:val="7C90110D"/>
    <w:rsid w:val="7C964E9A"/>
    <w:rsid w:val="7C9B6AF6"/>
    <w:rsid w:val="7CA02445"/>
    <w:rsid w:val="7CA34622"/>
    <w:rsid w:val="7CB62DB0"/>
    <w:rsid w:val="7CE51FD2"/>
    <w:rsid w:val="7D0C237E"/>
    <w:rsid w:val="7D116D35"/>
    <w:rsid w:val="7D1D5A8F"/>
    <w:rsid w:val="7D2F6FF7"/>
    <w:rsid w:val="7D303FCF"/>
    <w:rsid w:val="7D332F6D"/>
    <w:rsid w:val="7D3D587B"/>
    <w:rsid w:val="7D3D5AB8"/>
    <w:rsid w:val="7D4435DF"/>
    <w:rsid w:val="7D465938"/>
    <w:rsid w:val="7D5F0286"/>
    <w:rsid w:val="7D694213"/>
    <w:rsid w:val="7D6E6D2F"/>
    <w:rsid w:val="7D7941E9"/>
    <w:rsid w:val="7D7F6A5C"/>
    <w:rsid w:val="7D7F6F35"/>
    <w:rsid w:val="7D98607C"/>
    <w:rsid w:val="7DB108F3"/>
    <w:rsid w:val="7DB838C8"/>
    <w:rsid w:val="7DBA0C45"/>
    <w:rsid w:val="7DBD21AB"/>
    <w:rsid w:val="7DC23C3E"/>
    <w:rsid w:val="7DCA5633"/>
    <w:rsid w:val="7DDC78BA"/>
    <w:rsid w:val="7DF37812"/>
    <w:rsid w:val="7DF46E1B"/>
    <w:rsid w:val="7E0464CE"/>
    <w:rsid w:val="7E0E7EC6"/>
    <w:rsid w:val="7E1A674B"/>
    <w:rsid w:val="7E202324"/>
    <w:rsid w:val="7E245071"/>
    <w:rsid w:val="7E2C2660"/>
    <w:rsid w:val="7E2E018A"/>
    <w:rsid w:val="7E476D34"/>
    <w:rsid w:val="7E6D6DAE"/>
    <w:rsid w:val="7E9B11AA"/>
    <w:rsid w:val="7EA32AD0"/>
    <w:rsid w:val="7EB55616"/>
    <w:rsid w:val="7EB91DB4"/>
    <w:rsid w:val="7ED953E3"/>
    <w:rsid w:val="7EDA563E"/>
    <w:rsid w:val="7EF765D0"/>
    <w:rsid w:val="7EF87C96"/>
    <w:rsid w:val="7F0E3023"/>
    <w:rsid w:val="7F1905F5"/>
    <w:rsid w:val="7F1A71B8"/>
    <w:rsid w:val="7F301B1E"/>
    <w:rsid w:val="7F375D0A"/>
    <w:rsid w:val="7F500CBA"/>
    <w:rsid w:val="7F587DE1"/>
    <w:rsid w:val="7F820D78"/>
    <w:rsid w:val="7F8A2E24"/>
    <w:rsid w:val="7F8B3388"/>
    <w:rsid w:val="7F932DA9"/>
    <w:rsid w:val="7F935AA2"/>
    <w:rsid w:val="7F983818"/>
    <w:rsid w:val="7FB230C2"/>
    <w:rsid w:val="7FB555D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0"/>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59"/>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 w:val="20"/>
      <w:szCs w:val="20"/>
      <w:lang w:val="en-GB" w:eastAsia="sv-SE"/>
    </w:rPr>
  </w:style>
  <w:style w:type="paragraph" w:styleId="13">
    <w:name w:val="Document Map"/>
    <w:basedOn w:val="1"/>
    <w:link w:val="57"/>
    <w:unhideWhenUsed/>
    <w:qFormat/>
    <w:uiPriority w:val="99"/>
    <w:rPr>
      <w:rFonts w:ascii="宋体"/>
      <w:sz w:val="18"/>
      <w:szCs w:val="18"/>
    </w:rPr>
  </w:style>
  <w:style w:type="paragraph" w:styleId="14">
    <w:name w:val="annotation text"/>
    <w:basedOn w:val="1"/>
    <w:link w:val="50"/>
    <w:unhideWhenUsed/>
    <w:qFormat/>
    <w:uiPriority w:val="0"/>
    <w:rPr>
      <w:sz w:val="20"/>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 w:val="20"/>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字符"/>
    <w:link w:val="16"/>
    <w:semiHidden/>
    <w:qFormat/>
    <w:uiPriority w:val="99"/>
    <w:rPr>
      <w:rFonts w:ascii="Tahoma" w:hAnsi="Tahoma" w:cs="Tahoma"/>
      <w:sz w:val="16"/>
      <w:szCs w:val="16"/>
    </w:rPr>
  </w:style>
  <w:style w:type="paragraph" w:customStyle="1" w:styleId="35">
    <w:name w:val="!ZTE-Proposal-2021 + 段前: 0.5 行 段后: 0.5 行"/>
    <w:basedOn w:val="1"/>
    <w:qFormat/>
    <w:uiPriority w:val="0"/>
    <w:pPr>
      <w:numPr>
        <w:ilvl w:val="0"/>
        <w:numId w:val="3"/>
      </w:numPr>
      <w:spacing w:before="30" w:beforeLines="30" w:after="30" w:afterLines="30" w:line="288" w:lineRule="auto"/>
      <w:ind w:left="0" w:firstLine="0"/>
    </w:pPr>
    <w:rPr>
      <w:rFonts w:cs="宋体" w:eastAsiaTheme="minorEastAsia"/>
      <w:b/>
      <w:bCs/>
      <w:i/>
      <w:iCs/>
      <w:lang w:val="en-GB"/>
    </w:rPr>
  </w:style>
  <w:style w:type="character" w:customStyle="1" w:styleId="36">
    <w:name w:val="页眉 字符"/>
    <w:link w:val="18"/>
    <w:qFormat/>
    <w:uiPriority w:val="0"/>
    <w:rPr>
      <w:rFonts w:ascii="Arial" w:hAnsi="Arial" w:eastAsia="MS Mincho"/>
      <w:b/>
      <w:szCs w:val="24"/>
      <w:lang w:eastAsia="en-US"/>
    </w:rPr>
  </w:style>
  <w:style w:type="character" w:customStyle="1" w:styleId="37">
    <w:name w:val="批注主题 字符"/>
    <w:link w:val="22"/>
    <w:semiHidden/>
    <w:qFormat/>
    <w:uiPriority w:val="99"/>
    <w:rPr>
      <w:b/>
      <w:bCs/>
    </w:rPr>
  </w:style>
  <w:style w:type="character" w:customStyle="1" w:styleId="38">
    <w:name w:val="脚注文本 字符"/>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题注 字符"/>
    <w:link w:val="12"/>
    <w:qFormat/>
    <w:uiPriority w:val="0"/>
    <w:rPr>
      <w:rFonts w:ascii="Times New Roman" w:hAnsi="Times New Roman"/>
      <w:b/>
      <w:bCs/>
      <w:lang w:val="en-GB" w:eastAsia="sv-SE"/>
    </w:rPr>
  </w:style>
  <w:style w:type="character" w:customStyle="1" w:styleId="46">
    <w:name w:val="B1 (文字)"/>
    <w:link w:val="47"/>
    <w:qFormat/>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 w:val="20"/>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0">
    <w:name w:val="批注文字 字符"/>
    <w:basedOn w:val="26"/>
    <w:link w:val="14"/>
    <w:qFormat/>
    <w:uiPriority w:val="0"/>
  </w:style>
  <w:style w:type="character" w:customStyle="1" w:styleId="51">
    <w:name w:val="正文文本 字符"/>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uiPriority w:val="34"/>
    <w:rPr>
      <w:rFonts w:ascii="Times New Roman" w:hAnsi="Times New Roman"/>
      <w:kern w:val="2"/>
      <w:sz w:val="21"/>
      <w:szCs w:val="24"/>
    </w:rPr>
  </w:style>
  <w:style w:type="character" w:customStyle="1" w:styleId="54">
    <w:name w:val="Normal with indent Char"/>
    <w:link w:val="55"/>
    <w:qFormat/>
    <w:uiPriority w:val="0"/>
    <w:rPr>
      <w:rFonts w:ascii="Times New Roman" w:hAnsi="Times New Roman" w:eastAsia="Malgun Gothic"/>
      <w:lang w:val="en-GB" w:eastAsia="ko-KR"/>
    </w:rPr>
  </w:style>
  <w:style w:type="paragraph" w:customStyle="1" w:styleId="55">
    <w:name w:val="Normal with indent"/>
    <w:basedOn w:val="1"/>
    <w:link w:val="54"/>
    <w:qFormat/>
    <w:uiPriority w:val="0"/>
    <w:pPr>
      <w:spacing w:before="120" w:after="120" w:line="336" w:lineRule="auto"/>
      <w:ind w:firstLine="397"/>
      <w:jc w:val="both"/>
    </w:pPr>
    <w:rPr>
      <w:rFonts w:eastAsia="Malgun Gothic"/>
      <w:sz w:val="20"/>
      <w:szCs w:val="20"/>
      <w:lang w:val="en-GB" w:eastAsia="ko-KR"/>
    </w:rPr>
  </w:style>
  <w:style w:type="character" w:customStyle="1" w:styleId="56">
    <w:name w:val="word"/>
    <w:basedOn w:val="26"/>
    <w:qFormat/>
    <w:uiPriority w:val="0"/>
  </w:style>
  <w:style w:type="character" w:customStyle="1" w:styleId="57">
    <w:name w:val="文档结构图 字符"/>
    <w:link w:val="13"/>
    <w:semiHidden/>
    <w:qFormat/>
    <w:uiPriority w:val="99"/>
    <w:rPr>
      <w:rFonts w:ascii="宋体"/>
      <w:sz w:val="18"/>
      <w:szCs w:val="18"/>
    </w:rPr>
  </w:style>
  <w:style w:type="character" w:customStyle="1" w:styleId="58">
    <w:name w:val="high-light"/>
    <w:basedOn w:val="26"/>
    <w:qFormat/>
    <w:uiPriority w:val="0"/>
  </w:style>
  <w:style w:type="character" w:customStyle="1" w:styleId="59">
    <w:name w:val="标题 3 字符"/>
    <w:link w:val="4"/>
    <w:qFormat/>
    <w:uiPriority w:val="9"/>
    <w:rPr>
      <w:b/>
      <w:bCs/>
      <w:sz w:val="32"/>
      <w:szCs w:val="32"/>
    </w:rPr>
  </w:style>
  <w:style w:type="character" w:customStyle="1" w:styleId="60">
    <w:name w:val="标题 1 字符"/>
    <w:link w:val="2"/>
    <w:qFormat/>
    <w:uiPriority w:val="99"/>
    <w:rPr>
      <w:rFonts w:ascii="Arial" w:hAnsi="Arial" w:eastAsia="黑体"/>
      <w:b/>
      <w:bCs/>
      <w:sz w:val="30"/>
      <w:szCs w:val="30"/>
      <w:lang w:val="zh-CN"/>
    </w:rPr>
  </w:style>
  <w:style w:type="character" w:customStyle="1" w:styleId="61">
    <w:name w:val="pos"/>
    <w:basedOn w:val="26"/>
    <w:qFormat/>
    <w:uiPriority w:val="0"/>
  </w:style>
  <w:style w:type="character" w:customStyle="1" w:styleId="62">
    <w:name w:val="apple-style-span"/>
    <w:basedOn w:val="26"/>
    <w:qFormat/>
    <w:uiPriority w:val="0"/>
  </w:style>
  <w:style w:type="character" w:customStyle="1" w:styleId="63">
    <w:name w:val="ZGSM"/>
    <w:qFormat/>
    <w:uiPriority w:val="0"/>
  </w:style>
  <w:style w:type="paragraph" w:customStyle="1" w:styleId="64">
    <w:name w:val="TAH"/>
    <w:basedOn w:val="42"/>
    <w:link w:val="91"/>
    <w:qFormat/>
    <w:uiPriority w:val="0"/>
    <w:rPr>
      <w:b/>
    </w:rPr>
  </w:style>
  <w:style w:type="paragraph" w:customStyle="1" w:styleId="65">
    <w:name w:val="无间隔1"/>
    <w:qFormat/>
    <w:uiPriority w:val="99"/>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4"/>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5"/>
      </w:numPr>
    </w:pPr>
  </w:style>
  <w:style w:type="paragraph" w:customStyle="1" w:styleId="73">
    <w:name w:val="修订1"/>
    <w:qFormat/>
    <w:uiPriority w:val="71"/>
    <w:rPr>
      <w:rFonts w:ascii="Times New Roman" w:hAnsi="Times New Roman" w:eastAsia="宋体" w:cs="Times New Roman"/>
      <w:sz w:val="22"/>
      <w:szCs w:val="22"/>
      <w:lang w:val="en-US" w:eastAsia="zh-CN" w:bidi="ar-SA"/>
    </w:rPr>
  </w:style>
  <w:style w:type="paragraph" w:customStyle="1" w:styleId="74">
    <w:name w:val="No Spacing1"/>
    <w:qFormat/>
    <w:uiPriority w:val="1"/>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6"/>
      </w:numPr>
    </w:pPr>
  </w:style>
  <w:style w:type="paragraph" w:customStyle="1" w:styleId="77">
    <w:name w:val="_Style 2"/>
    <w:qFormat/>
    <w:uiPriority w:val="99"/>
    <w:rPr>
      <w:rFonts w:ascii="Times New Roman" w:hAnsi="Times New Roman" w:eastAsia="宋体" w:cs="Times New Roman"/>
      <w:sz w:val="22"/>
      <w:szCs w:val="22"/>
      <w:lang w:val="en-US" w:eastAsia="zh-CN" w:bidi="ar-SA"/>
    </w:rPr>
  </w:style>
  <w:style w:type="paragraph" w:customStyle="1" w:styleId="78">
    <w:name w:val="_Style 1"/>
    <w:qFormat/>
    <w:uiPriority w:val="99"/>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 w:val="20"/>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7">
    <w:name w:val="占位符文本1"/>
    <w:basedOn w:val="26"/>
    <w:unhideWhenUsed/>
    <w:qFormat/>
    <w:uiPriority w:val="99"/>
    <w:rPr>
      <w:color w:val="808080"/>
    </w:rPr>
  </w:style>
  <w:style w:type="paragraph" w:customStyle="1" w:styleId="98">
    <w:name w:val="正文1"/>
    <w:qFormat/>
    <w:uiPriority w:val="0"/>
    <w:pPr>
      <w:jc w:val="both"/>
    </w:pPr>
    <w:rPr>
      <w:rFonts w:ascii="Times New Roman" w:hAnsi="Times New Roman" w:eastAsia="宋体" w:cs="Times New Roman"/>
      <w:kern w:val="2"/>
      <w:sz w:val="21"/>
      <w:szCs w:val="21"/>
      <w:lang w:val="en-US" w:eastAsia="zh-CN" w:bidi="ar-SA"/>
    </w:rPr>
  </w:style>
  <w:style w:type="character" w:styleId="99">
    <w:name w:val="Placeholder Text"/>
    <w:basedOn w:val="26"/>
    <w:semiHidden/>
    <w:qFormat/>
    <w:uiPriority w:val="99"/>
    <w:rPr>
      <w:color w:val="808080"/>
    </w:rPr>
  </w:style>
  <w:style w:type="paragraph" w:styleId="100">
    <w:name w:val="List Paragraph"/>
    <w:basedOn w:val="1"/>
    <w:link w:val="108"/>
    <w:qFormat/>
    <w:uiPriority w:val="34"/>
    <w:pPr>
      <w:ind w:firstLine="420" w:firstLineChars="200"/>
    </w:pPr>
  </w:style>
  <w:style w:type="paragraph" w:customStyle="1" w:styleId="101">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6"/>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 w:val="20"/>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49"/>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08">
    <w:name w:val="列表段落 字符"/>
    <w:link w:val="100"/>
    <w:qFormat/>
    <w:uiPriority w:val="34"/>
    <w:rPr>
      <w:rFonts w:ascii="Times New Roman" w:hAnsi="Times New Roman" w:eastAsia="宋体" w:cs="Times New Roman"/>
      <w:sz w:val="22"/>
      <w:szCs w:val="22"/>
    </w:rPr>
  </w:style>
  <w:style w:type="table" w:customStyle="1" w:styleId="109">
    <w:name w:val="网格表 2 - 着色 61"/>
    <w:basedOn w:val="2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0">
    <w:name w:val="清单表 2 - 着色 61"/>
    <w:basedOn w:val="23"/>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1">
    <w:name w:val="x_msonormal"/>
    <w:basedOn w:val="1"/>
    <w:qFormat/>
    <w:uiPriority w:val="99"/>
    <w:pPr>
      <w:spacing w:after="0" w:line="240" w:lineRule="auto"/>
    </w:pPr>
    <w:rPr>
      <w:rFonts w:ascii="Calibri" w:hAnsi="Calibri" w:eastAsia="Calibri" w:cs="Calibri"/>
      <w:lang w:eastAsia="en-US"/>
    </w:rPr>
  </w:style>
  <w:style w:type="character" w:customStyle="1" w:styleId="112">
    <w:name w:val="normaltextrun"/>
    <w:basedOn w:val="26"/>
    <w:qFormat/>
    <w:uiPriority w:val="0"/>
  </w:style>
  <w:style w:type="paragraph" w:customStyle="1" w:styleId="113">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4">
    <w:name w:val="列出段落2"/>
    <w:basedOn w:val="1"/>
    <w:qFormat/>
    <w:uiPriority w:val="34"/>
    <w:pPr>
      <w:ind w:firstLine="420" w:firstLineChars="200"/>
    </w:pPr>
  </w:style>
  <w:style w:type="paragraph" w:customStyle="1" w:styleId="115">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6">
    <w:name w:val="References"/>
    <w:basedOn w:val="1"/>
    <w:qFormat/>
    <w:uiPriority w:val="0"/>
    <w:pPr>
      <w:numPr>
        <w:ilvl w:val="0"/>
        <w:numId w:val="7"/>
      </w:numPr>
      <w:spacing w:after="60"/>
    </w:pPr>
    <w:rPr>
      <w:szCs w:val="16"/>
    </w:rPr>
  </w:style>
  <w:style w:type="paragraph" w:customStyle="1" w:styleId="117">
    <w:name w:val="!ZTE-Observation-2021"/>
    <w:basedOn w:val="1"/>
    <w:qFormat/>
    <w:uiPriority w:val="0"/>
    <w:pPr>
      <w:numPr>
        <w:ilvl w:val="0"/>
        <w:numId w:val="8"/>
      </w:numPr>
      <w:snapToGrid w:val="0"/>
      <w:spacing w:before="30" w:beforeLines="30" w:after="30" w:afterLines="30" w:line="288" w:lineRule="auto"/>
      <w:ind w:left="0" w:firstLine="0"/>
      <w:textAlignment w:val="center"/>
    </w:pPr>
    <w:rPr>
      <w:rFonts w:cs="宋体" w:eastAsiaTheme="minorEastAsia"/>
      <w:b/>
      <w:bCs/>
      <w:i/>
      <w:iCs/>
      <w:lang w:val="en-GB" w:eastAsia="en-US"/>
    </w:rPr>
  </w:style>
  <w:style w:type="paragraph" w:customStyle="1" w:styleId="118">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2.png"/><Relationship Id="rId24" Type="http://schemas.openxmlformats.org/officeDocument/2006/relationships/image" Target="media/image11.emf"/><Relationship Id="rId23" Type="http://schemas.openxmlformats.org/officeDocument/2006/relationships/package" Target="embeddings/Microsoft_Visio___1.vsdx"/><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6.bin"/><Relationship Id="rId17" Type="http://schemas.openxmlformats.org/officeDocument/2006/relationships/image" Target="media/image7.emf"/><Relationship Id="rId16" Type="http://schemas.openxmlformats.org/officeDocument/2006/relationships/oleObject" Target="embeddings/oleObject5.bin"/><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41F793-CC63-40CE-81BB-3451CC25088E}">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37</Pages>
  <Words>14423</Words>
  <Characters>82213</Characters>
  <Lines>685</Lines>
  <Paragraphs>192</Paragraphs>
  <TotalTime>1</TotalTime>
  <ScaleCrop>false</ScaleCrop>
  <LinksUpToDate>false</LinksUpToDate>
  <CharactersWithSpaces>96444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2022-08-11T18:00:00Z</dcterms:created>
  <dc:creator>ZTE</dc:creator>
  <cp:lastModifiedBy>10303991</cp:lastModifiedBy>
  <dcterms:modified xsi:type="dcterms:W3CDTF">2023-05-15T07:30:55Z</dcterms:modified>
  <dc:title>3GPP TSG-RAN WG1</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62EB18A7271D4FE6835BCAE17793D29E</vt:lpwstr>
  </property>
</Properties>
</file>